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242" w:rsidP="549976BC" w:rsidRDefault="001C19EE" w14:paraId="2AF904DB" w14:textId="77777777">
      <w:pPr>
        <w:jc w:val="right"/>
      </w:pPr>
      <w:r w:rsidR="001C19EE">
        <w:rPr/>
        <w:t>Approved</w:t>
      </w:r>
    </w:p>
    <w:p w:rsidR="01C4484D" w:rsidP="39509CD7" w:rsidRDefault="01C4484D" w14:paraId="3263EE8B" w14:textId="69A80EF9">
      <w:pPr>
        <w:pStyle w:val="Normal"/>
        <w:suppressLineNumbers w:val="0"/>
        <w:bidi w:val="0"/>
        <w:spacing w:before="0" w:beforeAutospacing="off" w:after="0" w:afterAutospacing="off" w:line="278" w:lineRule="auto"/>
        <w:ind w:left="0" w:right="0"/>
        <w:jc w:val="right"/>
      </w:pPr>
      <w:r w:rsidR="01C4484D">
        <w:rPr/>
        <w:t>08/20/2025</w:t>
      </w:r>
    </w:p>
    <w:p w:rsidR="5DBED645" w:rsidP="5DBED645" w:rsidRDefault="5DBED645" w14:paraId="2E585AF9" w14:textId="647019A2">
      <w:pPr>
        <w:jc w:val="right"/>
      </w:pPr>
      <w:r>
        <w:t>by SBV COA Board of Directors</w:t>
      </w:r>
    </w:p>
    <w:tbl>
      <w:tblPr>
        <w:tblStyle w:val="TableGrid"/>
        <w:tblW w:w="10590" w:type="dxa"/>
        <w:tblLook w:val="0600" w:firstRow="0" w:lastRow="0" w:firstColumn="0" w:lastColumn="0" w:noHBand="1" w:noVBand="1"/>
      </w:tblPr>
      <w:tblGrid>
        <w:gridCol w:w="600"/>
        <w:gridCol w:w="1650"/>
        <w:gridCol w:w="8340"/>
      </w:tblGrid>
      <w:tr w:rsidR="00E0028E" w:rsidTr="39509CD7" w14:paraId="0BDD20D2" w14:textId="77777777">
        <w:trPr>
          <w:trHeight w:val="300"/>
        </w:trPr>
        <w:tc>
          <w:tcPr>
            <w:tcW w:w="10590" w:type="dxa"/>
            <w:gridSpan w:val="3"/>
            <w:tcMar/>
          </w:tcPr>
          <w:p w:rsidR="00E0028E" w:rsidP="44FF8E20" w:rsidRDefault="5E9CBE28" w14:paraId="6D80D220" w14:textId="20BD8041">
            <w:pPr>
              <w:rPr>
                <w:b/>
                <w:bCs/>
                <w:highlight w:val="yellow"/>
              </w:rPr>
            </w:pPr>
            <w:r w:rsidRPr="5E9CBE28">
              <w:rPr>
                <w:b/>
                <w:bCs/>
              </w:rPr>
              <w:t xml:space="preserve">                                   </w:t>
            </w:r>
            <w:r w:rsidRPr="5E9CBE28">
              <w:rPr>
                <w:b/>
                <w:bCs/>
                <w:sz w:val="28"/>
                <w:szCs w:val="28"/>
              </w:rPr>
              <w:t xml:space="preserve">RULES AND REGULATIONS </w:t>
            </w:r>
            <w:r w:rsidRPr="5E9CBE28">
              <w:rPr>
                <w:b/>
                <w:bCs/>
              </w:rPr>
              <w:t xml:space="preserve">                     </w:t>
            </w:r>
          </w:p>
          <w:p w:rsidRPr="00FE013C" w:rsidR="00824BC2" w:rsidP="44FF8E20" w:rsidRDefault="544004F7" w14:paraId="2A90B0D8" w14:textId="3C4234D4">
            <w:r>
              <w:t xml:space="preserve">                    </w:t>
            </w:r>
            <w:r w:rsidRPr="544004F7">
              <w:rPr>
                <w:b/>
                <w:bCs/>
              </w:rPr>
              <w:t>Sunset Bay Villas Condominium Owners Association</w:t>
            </w:r>
          </w:p>
        </w:tc>
      </w:tr>
      <w:tr w:rsidR="00E0028E" w:rsidTr="39509CD7" w14:paraId="561EF862" w14:textId="77777777">
        <w:trPr>
          <w:trHeight w:val="300"/>
        </w:trPr>
        <w:tc>
          <w:tcPr>
            <w:tcW w:w="10590" w:type="dxa"/>
            <w:gridSpan w:val="3"/>
            <w:tcMar/>
          </w:tcPr>
          <w:p w:rsidR="00FE2456" w:rsidP="44FF8E20" w:rsidRDefault="39275747" w14:paraId="31C4E410" w14:textId="471F0F1A">
            <w:pPr>
              <w:jc w:val="left"/>
              <w:rPr>
                <w:sz w:val="22"/>
                <w:szCs w:val="22"/>
              </w:rPr>
            </w:pPr>
            <w:r w:rsidRPr="39275747">
              <w:rPr>
                <w:sz w:val="22"/>
                <w:szCs w:val="22"/>
              </w:rPr>
              <w:t xml:space="preserve">11.01 House Rules.  The BOARD OF DIRECTORS may from time to time… adopt, modify, amend, or add to rules and regulations concerning the use of the CONDOMINIUM PROPERTY.  Copies of such rules and regulations, or any amendments, additions, or modifications, be delivered to each UNIT OWNER not less than fourteen (14) days prior to the effective date. No rule or regulation that conflicts with the CONDOMINIUM BYLAWS shall be adopted. </w:t>
            </w:r>
          </w:p>
          <w:p w:rsidR="26127E42" w:rsidP="26127E42" w:rsidRDefault="26127E42" w14:paraId="5E72C42B" w14:textId="7B61C171">
            <w:pPr>
              <w:jc w:val="left"/>
              <w:rPr>
                <w:sz w:val="22"/>
                <w:szCs w:val="22"/>
              </w:rPr>
            </w:pPr>
          </w:p>
          <w:p w:rsidR="00F61593" w:rsidP="44FF8E20" w:rsidRDefault="5C73ABFE" w14:paraId="0C67C116" w14:textId="4C74F362">
            <w:pPr>
              <w:jc w:val="left"/>
              <w:rPr>
                <w:sz w:val="22"/>
                <w:szCs w:val="22"/>
              </w:rPr>
            </w:pPr>
            <w:r w:rsidRPr="5C73ABFE">
              <w:rPr>
                <w:sz w:val="22"/>
                <w:szCs w:val="22"/>
              </w:rPr>
              <w:t xml:space="preserve">When In question, ask for clarification via </w:t>
            </w:r>
            <w:hyperlink w:history="1" r:id="rId4">
              <w:r w:rsidRPr="5C73ABFE">
                <w:rPr>
                  <w:rStyle w:val="Hyperlink"/>
                  <w:sz w:val="22"/>
                  <w:szCs w:val="22"/>
                </w:rPr>
                <w:t>BOARDOFDIRECTORS@SBVCOA.COM</w:t>
              </w:r>
            </w:hyperlink>
          </w:p>
          <w:p w:rsidR="00AB23EB" w:rsidP="5C73ABFE" w:rsidRDefault="5C73ABFE" w14:paraId="136AB99C" w14:textId="5A931C04">
            <w:pPr>
              <w:spacing w:line="278" w:lineRule="auto"/>
              <w:jc w:val="both"/>
              <w:rPr>
                <w:sz w:val="22"/>
                <w:szCs w:val="22"/>
              </w:rPr>
            </w:pPr>
            <w:r w:rsidRPr="5C73ABFE">
              <w:rPr>
                <w:sz w:val="22"/>
                <w:szCs w:val="22"/>
              </w:rPr>
              <w:t>Any consent or approval given under SBVCOA Rules and Regulations may be added to, amended, or repealed at any time per resolution of the Board.</w:t>
            </w:r>
          </w:p>
          <w:p w:rsidR="5D45043D" w:rsidP="5D45043D" w:rsidRDefault="5D45043D" w14:paraId="094B1950" w14:textId="4FDB50ED">
            <w:pPr>
              <w:jc w:val="both"/>
              <w:rPr>
                <w:sz w:val="22"/>
                <w:szCs w:val="22"/>
              </w:rPr>
            </w:pPr>
          </w:p>
          <w:p w:rsidRPr="00BC2854" w:rsidR="00AC7ACD" w:rsidP="44FF8E20" w:rsidRDefault="544004F7" w14:paraId="6F742792" w14:textId="777F9D1F">
            <w:pPr>
              <w:jc w:val="left"/>
              <w:rPr>
                <w:sz w:val="22"/>
                <w:szCs w:val="22"/>
              </w:rPr>
            </w:pPr>
            <w:r w:rsidRPr="544004F7">
              <w:rPr>
                <w:sz w:val="22"/>
                <w:szCs w:val="22"/>
              </w:rPr>
              <w:t>Sunset Bay Villas (SBV)                Condominium Owners Association (COA)                     Board of Directors (BOD)</w:t>
            </w:r>
          </w:p>
        </w:tc>
      </w:tr>
      <w:tr w:rsidR="00FE2456" w:rsidTr="39509CD7" w14:paraId="42AD9EC8" w14:textId="77777777">
        <w:trPr>
          <w:trHeight w:val="300"/>
        </w:trPr>
        <w:tc>
          <w:tcPr>
            <w:tcW w:w="10590" w:type="dxa"/>
            <w:gridSpan w:val="3"/>
            <w:tcMar/>
          </w:tcPr>
          <w:p w:rsidRPr="008B0363" w:rsidR="00FE2456" w:rsidP="44FF8E20" w:rsidRDefault="44FF8E20" w14:paraId="0A048B98" w14:textId="072D41A2">
            <w:pPr>
              <w:rPr>
                <w:b/>
                <w:bCs/>
                <w:sz w:val="28"/>
                <w:szCs w:val="28"/>
              </w:rPr>
            </w:pPr>
            <w:r w:rsidRPr="44FF8E20">
              <w:rPr>
                <w:b/>
                <w:bCs/>
                <w:sz w:val="28"/>
                <w:szCs w:val="28"/>
              </w:rPr>
              <w:t>General Regulations</w:t>
            </w:r>
          </w:p>
          <w:p w:rsidR="00A116DC" w:rsidP="44FF8E20" w:rsidRDefault="5C73ABFE" w14:paraId="2CD00070" w14:textId="55D14BCD">
            <w:r>
              <w:t>(Compliant with SBVCOA BYLAWS)</w:t>
            </w:r>
          </w:p>
        </w:tc>
      </w:tr>
      <w:tr w:rsidR="00BB5D51" w:rsidTr="39509CD7" w14:paraId="01EB9FE1" w14:textId="77777777">
        <w:trPr>
          <w:trHeight w:val="300"/>
        </w:trPr>
        <w:tc>
          <w:tcPr>
            <w:tcW w:w="600" w:type="dxa"/>
            <w:tcMar/>
          </w:tcPr>
          <w:p w:rsidRPr="00BC2854" w:rsidR="00B27B84" w:rsidP="26127E42" w:rsidRDefault="5D45043D" w14:paraId="2EC28ECC" w14:textId="34CF9F01">
            <w:pPr>
              <w:jc w:val="left"/>
              <w:rPr>
                <w:rFonts w:eastAsiaTheme="minorEastAsia"/>
                <w:sz w:val="22"/>
                <w:szCs w:val="22"/>
              </w:rPr>
            </w:pPr>
            <w:bookmarkStart w:name="_Hlk174786627" w:id="0"/>
            <w:r w:rsidRPr="5D45043D">
              <w:rPr>
                <w:rFonts w:eastAsiaTheme="minorEastAsia"/>
                <w:sz w:val="22"/>
                <w:szCs w:val="22"/>
              </w:rPr>
              <w:t>1</w:t>
            </w:r>
          </w:p>
        </w:tc>
        <w:tc>
          <w:tcPr>
            <w:tcW w:w="1650" w:type="dxa"/>
            <w:tcMar/>
          </w:tcPr>
          <w:p w:rsidRPr="007D0458" w:rsidR="00B27B84" w:rsidP="5D45043D" w:rsidRDefault="5D45043D" w14:paraId="6846FA7F" w14:textId="505C59D2">
            <w:pPr>
              <w:jc w:val="left"/>
              <w:rPr>
                <w:b/>
                <w:bCs/>
                <w:sz w:val="22"/>
                <w:szCs w:val="22"/>
              </w:rPr>
            </w:pPr>
            <w:r w:rsidRPr="5D45043D">
              <w:rPr>
                <w:b/>
                <w:bCs/>
                <w:sz w:val="22"/>
                <w:szCs w:val="22"/>
              </w:rPr>
              <w:t>SAFETY Measures</w:t>
            </w:r>
          </w:p>
          <w:p w:rsidRPr="005406FC" w:rsidR="00483DC8" w:rsidP="26127E42" w:rsidRDefault="00483DC8" w14:paraId="01E5DC8B" w14:textId="77777777">
            <w:pPr>
              <w:jc w:val="left"/>
              <w:rPr>
                <w:rFonts w:eastAsiaTheme="minorEastAsia"/>
                <w:b/>
                <w:bCs/>
                <w:sz w:val="22"/>
                <w:szCs w:val="22"/>
              </w:rPr>
            </w:pPr>
          </w:p>
          <w:p w:rsidRPr="007D0458" w:rsidR="003E334C" w:rsidP="26127E42" w:rsidRDefault="003E334C" w14:paraId="78ECF00A" w14:textId="59F08EB3">
            <w:pPr>
              <w:jc w:val="left"/>
              <w:rPr>
                <w:rFonts w:eastAsiaTheme="minorEastAsia"/>
                <w:sz w:val="22"/>
                <w:szCs w:val="22"/>
              </w:rPr>
            </w:pPr>
          </w:p>
        </w:tc>
        <w:tc>
          <w:tcPr>
            <w:tcW w:w="8340" w:type="dxa"/>
            <w:tcMar/>
          </w:tcPr>
          <w:p w:rsidRPr="00BC2854" w:rsidR="00534856" w:rsidP="5D45043D" w:rsidRDefault="5E9CBE28" w14:paraId="099A8A91" w14:textId="645CD3CD">
            <w:pPr>
              <w:jc w:val="left"/>
              <w:rPr>
                <w:sz w:val="22"/>
                <w:szCs w:val="22"/>
              </w:rPr>
            </w:pPr>
            <w:r w:rsidRPr="005406FC">
              <w:rPr>
                <w:sz w:val="22"/>
                <w:szCs w:val="22"/>
              </w:rPr>
              <w:t>Nothing may be attached to the top or exterior of the</w:t>
            </w:r>
            <w:r w:rsidRPr="5E9CBE28">
              <w:rPr>
                <w:sz w:val="22"/>
                <w:szCs w:val="22"/>
              </w:rPr>
              <w:t xml:space="preserve"> railings or stairs including, but not limited to planter boxes, baskets, etc. which pose a safety risk to property or people below.</w:t>
            </w:r>
          </w:p>
          <w:p w:rsidRPr="00BC2854" w:rsidR="00534856" w:rsidP="5D45043D" w:rsidRDefault="544004F7" w14:paraId="34C197DC" w14:textId="3F318E99">
            <w:pPr>
              <w:jc w:val="left"/>
              <w:rPr>
                <w:sz w:val="22"/>
                <w:szCs w:val="22"/>
              </w:rPr>
            </w:pPr>
            <w:r w:rsidRPr="544004F7">
              <w:rPr>
                <w:sz w:val="22"/>
                <w:szCs w:val="22"/>
              </w:rPr>
              <w:t>Additionally, nothing may protrude from unit window, including but not limited to, air conditioning units and window boxes.</w:t>
            </w:r>
          </w:p>
        </w:tc>
      </w:tr>
      <w:bookmarkEnd w:id="0"/>
      <w:tr w:rsidR="000617AB" w:rsidTr="39509CD7" w14:paraId="558093CD" w14:textId="77777777">
        <w:trPr>
          <w:trHeight w:val="300"/>
        </w:trPr>
        <w:tc>
          <w:tcPr>
            <w:tcW w:w="600" w:type="dxa"/>
            <w:tcMar/>
          </w:tcPr>
          <w:p w:rsidRPr="005406FC" w:rsidR="007D0A35" w:rsidP="26127E42" w:rsidRDefault="26127E42" w14:paraId="47611CC1" w14:textId="1C13A935">
            <w:pPr>
              <w:jc w:val="left"/>
              <w:rPr>
                <w:rFonts w:eastAsiaTheme="minorEastAsia"/>
                <w:sz w:val="22"/>
                <w:szCs w:val="22"/>
              </w:rPr>
            </w:pPr>
            <w:r w:rsidRPr="005406FC">
              <w:rPr>
                <w:rFonts w:eastAsiaTheme="minorEastAsia"/>
                <w:sz w:val="22"/>
                <w:szCs w:val="22"/>
              </w:rPr>
              <w:t>2</w:t>
            </w:r>
          </w:p>
        </w:tc>
        <w:tc>
          <w:tcPr>
            <w:tcW w:w="1650" w:type="dxa"/>
            <w:tcMar/>
          </w:tcPr>
          <w:p w:rsidRPr="007D0458" w:rsidR="007D0A35" w:rsidP="26127E42" w:rsidRDefault="5D45043D" w14:paraId="739903C9" w14:textId="0C1F1312">
            <w:pPr>
              <w:jc w:val="left"/>
              <w:rPr>
                <w:rFonts w:eastAsiaTheme="minorEastAsia"/>
                <w:b/>
                <w:bCs/>
                <w:sz w:val="22"/>
                <w:szCs w:val="22"/>
              </w:rPr>
            </w:pPr>
            <w:r w:rsidRPr="5D45043D">
              <w:rPr>
                <w:rFonts w:eastAsiaTheme="minorEastAsia"/>
                <w:b/>
                <w:bCs/>
                <w:sz w:val="22"/>
                <w:szCs w:val="22"/>
              </w:rPr>
              <w:t xml:space="preserve">SAFETY Measures  </w:t>
            </w:r>
          </w:p>
        </w:tc>
        <w:tc>
          <w:tcPr>
            <w:tcW w:w="8340" w:type="dxa"/>
            <w:tcMar/>
          </w:tcPr>
          <w:p w:rsidRPr="00BC2854" w:rsidR="007D0A35" w:rsidP="5D45043D" w:rsidRDefault="544004F7" w14:paraId="50332789" w14:textId="5E5840BD">
            <w:pPr>
              <w:jc w:val="left"/>
              <w:rPr>
                <w:sz w:val="22"/>
                <w:szCs w:val="22"/>
              </w:rPr>
            </w:pPr>
            <w:r w:rsidRPr="544004F7">
              <w:rPr>
                <w:sz w:val="22"/>
                <w:szCs w:val="22"/>
              </w:rPr>
              <w:t>No bicycles, scooters, or similar items may be stored on common areas, near stairs, or in pathways of public use.</w:t>
            </w:r>
          </w:p>
        </w:tc>
      </w:tr>
      <w:tr w:rsidR="000617AB" w:rsidTr="39509CD7" w14:paraId="24AAA17C" w14:textId="77777777">
        <w:trPr>
          <w:trHeight w:val="300"/>
        </w:trPr>
        <w:tc>
          <w:tcPr>
            <w:tcW w:w="600" w:type="dxa"/>
            <w:tcMar/>
          </w:tcPr>
          <w:p w:rsidRPr="005406FC" w:rsidR="007D0A35" w:rsidP="26127E42" w:rsidRDefault="26127E42" w14:paraId="40B301EE" w14:textId="394F1771">
            <w:pPr>
              <w:jc w:val="left"/>
              <w:rPr>
                <w:rFonts w:eastAsiaTheme="minorEastAsia"/>
                <w:sz w:val="22"/>
                <w:szCs w:val="22"/>
              </w:rPr>
            </w:pPr>
            <w:r w:rsidRPr="005406FC">
              <w:rPr>
                <w:rFonts w:eastAsiaTheme="minorEastAsia"/>
                <w:sz w:val="22"/>
                <w:szCs w:val="22"/>
              </w:rPr>
              <w:t>3</w:t>
            </w:r>
          </w:p>
        </w:tc>
        <w:tc>
          <w:tcPr>
            <w:tcW w:w="1650" w:type="dxa"/>
            <w:tcMar/>
          </w:tcPr>
          <w:p w:rsidRPr="007D0458" w:rsidR="007D0A35" w:rsidP="26127E42" w:rsidRDefault="5D45043D" w14:paraId="2E5DD4DD" w14:textId="44FAF7EA">
            <w:pPr>
              <w:jc w:val="left"/>
              <w:rPr>
                <w:rFonts w:eastAsiaTheme="minorEastAsia"/>
                <w:b/>
                <w:bCs/>
                <w:sz w:val="22"/>
                <w:szCs w:val="22"/>
              </w:rPr>
            </w:pPr>
            <w:r w:rsidRPr="5D45043D">
              <w:rPr>
                <w:rFonts w:eastAsiaTheme="minorEastAsia"/>
                <w:b/>
                <w:bCs/>
                <w:sz w:val="22"/>
                <w:szCs w:val="22"/>
              </w:rPr>
              <w:t>SAFETY Measures</w:t>
            </w:r>
          </w:p>
        </w:tc>
        <w:tc>
          <w:tcPr>
            <w:tcW w:w="8340" w:type="dxa"/>
            <w:tcMar/>
          </w:tcPr>
          <w:p w:rsidRPr="00BC2854" w:rsidR="007D0A35" w:rsidP="5D45043D" w:rsidRDefault="5D45043D" w14:paraId="60BBEE1C" w14:textId="0371D403">
            <w:pPr>
              <w:jc w:val="left"/>
              <w:rPr>
                <w:sz w:val="22"/>
                <w:szCs w:val="22"/>
              </w:rPr>
            </w:pPr>
            <w:r w:rsidRPr="5D45043D">
              <w:rPr>
                <w:sz w:val="22"/>
                <w:szCs w:val="22"/>
              </w:rPr>
              <w:t>Apart from being given BOD consent, no one may enter or attempt to enter upon the roof.</w:t>
            </w:r>
          </w:p>
        </w:tc>
      </w:tr>
      <w:tr w:rsidR="000617AB" w:rsidTr="39509CD7" w14:paraId="1398FF21" w14:textId="77777777">
        <w:trPr>
          <w:trHeight w:val="300"/>
        </w:trPr>
        <w:tc>
          <w:tcPr>
            <w:tcW w:w="600" w:type="dxa"/>
            <w:tcMar/>
          </w:tcPr>
          <w:p w:rsidRPr="005406FC" w:rsidR="007D0A35" w:rsidP="26127E42" w:rsidRDefault="26127E42" w14:paraId="4101C872" w14:textId="2A4324F1">
            <w:pPr>
              <w:jc w:val="left"/>
              <w:rPr>
                <w:rFonts w:eastAsiaTheme="minorEastAsia"/>
                <w:sz w:val="22"/>
                <w:szCs w:val="22"/>
              </w:rPr>
            </w:pPr>
            <w:r w:rsidRPr="005406FC">
              <w:rPr>
                <w:rFonts w:eastAsiaTheme="minorEastAsia"/>
                <w:sz w:val="22"/>
                <w:szCs w:val="22"/>
              </w:rPr>
              <w:t>4</w:t>
            </w:r>
          </w:p>
        </w:tc>
        <w:tc>
          <w:tcPr>
            <w:tcW w:w="1650" w:type="dxa"/>
            <w:tcMar/>
          </w:tcPr>
          <w:p w:rsidRPr="007D0458" w:rsidR="000617AB" w:rsidP="26127E42" w:rsidRDefault="5D45043D" w14:paraId="56B31A1D" w14:textId="47D2E8F1">
            <w:pPr>
              <w:jc w:val="left"/>
              <w:rPr>
                <w:rFonts w:eastAsiaTheme="minorEastAsia"/>
                <w:b/>
                <w:bCs/>
                <w:sz w:val="22"/>
                <w:szCs w:val="22"/>
              </w:rPr>
            </w:pPr>
            <w:r w:rsidRPr="5D45043D">
              <w:rPr>
                <w:rFonts w:eastAsiaTheme="minorEastAsia"/>
                <w:b/>
                <w:bCs/>
                <w:sz w:val="22"/>
                <w:szCs w:val="22"/>
              </w:rPr>
              <w:t>SAFETY Measures</w:t>
            </w:r>
          </w:p>
          <w:p w:rsidRPr="005406FC" w:rsidR="000617AB" w:rsidP="26127E42" w:rsidRDefault="000617AB" w14:paraId="1690369F" w14:textId="47BE2C38">
            <w:pPr>
              <w:jc w:val="left"/>
              <w:rPr>
                <w:rFonts w:eastAsiaTheme="minorEastAsia"/>
                <w:b/>
                <w:bCs/>
                <w:sz w:val="22"/>
                <w:szCs w:val="22"/>
              </w:rPr>
            </w:pPr>
          </w:p>
          <w:p w:rsidRPr="007D0458" w:rsidR="000617AB" w:rsidP="5D45043D" w:rsidRDefault="5D45043D" w14:paraId="7C73924E" w14:textId="691668E3">
            <w:pPr>
              <w:jc w:val="left"/>
              <w:rPr>
                <w:rFonts w:eastAsiaTheme="minorEastAsia"/>
                <w:b/>
                <w:bCs/>
                <w:i/>
                <w:iCs/>
                <w:sz w:val="22"/>
                <w:szCs w:val="22"/>
              </w:rPr>
            </w:pPr>
            <w:r w:rsidRPr="5D45043D">
              <w:rPr>
                <w:rFonts w:eastAsiaTheme="minorEastAsia"/>
                <w:i/>
                <w:iCs/>
                <w:sz w:val="22"/>
                <w:szCs w:val="22"/>
              </w:rPr>
              <w:t>outdoor cooking</w:t>
            </w:r>
          </w:p>
        </w:tc>
        <w:tc>
          <w:tcPr>
            <w:tcW w:w="8340" w:type="dxa"/>
            <w:tcMar/>
          </w:tcPr>
          <w:p w:rsidRPr="00BC2854" w:rsidR="007D0A35" w:rsidP="5E9CBE28" w:rsidRDefault="5E9CBE28" w14:paraId="1791F991" w14:textId="2694E290">
            <w:pPr>
              <w:jc w:val="left"/>
              <w:rPr>
                <w:sz w:val="22"/>
                <w:szCs w:val="22"/>
              </w:rPr>
            </w:pPr>
            <w:r w:rsidRPr="5E9CBE28">
              <w:rPr>
                <w:sz w:val="22"/>
                <w:szCs w:val="22"/>
              </w:rPr>
              <w:t xml:space="preserve">Outdoor cooking is permitted provided the grill/smoker is located </w:t>
            </w:r>
            <w:r w:rsidRPr="5E9CBE28">
              <w:rPr>
                <w:sz w:val="22"/>
                <w:szCs w:val="22"/>
                <w:u w:val="single"/>
              </w:rPr>
              <w:t>at least 10 ft. from the building</w:t>
            </w:r>
            <w:r w:rsidRPr="5E9CBE28">
              <w:rPr>
                <w:sz w:val="22"/>
                <w:szCs w:val="22"/>
              </w:rPr>
              <w:t xml:space="preserve"> (by order of the City of Daphne), and on ground level. </w:t>
            </w:r>
          </w:p>
          <w:p w:rsidRPr="00BC2854" w:rsidR="007D0A35" w:rsidP="5E9CBE28" w:rsidRDefault="007D0A35" w14:paraId="6137BD16" w14:textId="39C899A9">
            <w:pPr>
              <w:jc w:val="left"/>
              <w:rPr>
                <w:sz w:val="22"/>
                <w:szCs w:val="22"/>
              </w:rPr>
            </w:pPr>
          </w:p>
          <w:p w:rsidRPr="00BC2854" w:rsidR="007D0A35" w:rsidP="5D45043D" w:rsidRDefault="5E9CBE28" w14:paraId="78C0B2D1" w14:textId="45C822D4">
            <w:pPr>
              <w:jc w:val="left"/>
              <w:rPr>
                <w:sz w:val="22"/>
                <w:szCs w:val="22"/>
              </w:rPr>
            </w:pPr>
            <w:r w:rsidRPr="5E9CBE28">
              <w:rPr>
                <w:sz w:val="22"/>
                <w:szCs w:val="22"/>
              </w:rPr>
              <w:t>No outdoor cooking is permitted in Common Areas except when done on grills provided by SBVCOA near pavilions or BOD permission is issued.</w:t>
            </w:r>
          </w:p>
        </w:tc>
      </w:tr>
      <w:tr w:rsidR="5C73ABFE" w:rsidTr="39509CD7" w14:paraId="2DF7796D" w14:textId="77777777">
        <w:trPr>
          <w:trHeight w:val="300"/>
        </w:trPr>
        <w:tc>
          <w:tcPr>
            <w:tcW w:w="600" w:type="dxa"/>
            <w:tcMar/>
          </w:tcPr>
          <w:p w:rsidR="5C73ABFE" w:rsidP="5C73ABFE" w:rsidRDefault="5C73ABFE" w14:paraId="05ECC45F" w14:textId="43F7CDD1">
            <w:pPr>
              <w:jc w:val="left"/>
              <w:rPr>
                <w:rFonts w:eastAsiaTheme="minorEastAsia"/>
                <w:sz w:val="22"/>
                <w:szCs w:val="22"/>
              </w:rPr>
            </w:pPr>
            <w:r w:rsidRPr="5C73ABFE">
              <w:rPr>
                <w:rFonts w:eastAsiaTheme="minorEastAsia"/>
                <w:sz w:val="22"/>
                <w:szCs w:val="22"/>
              </w:rPr>
              <w:t>5</w:t>
            </w:r>
          </w:p>
        </w:tc>
        <w:tc>
          <w:tcPr>
            <w:tcW w:w="1650" w:type="dxa"/>
            <w:tcMar/>
          </w:tcPr>
          <w:p w:rsidR="5C73ABFE" w:rsidP="5C73ABFE" w:rsidRDefault="5C73ABFE" w14:paraId="40819AA6" w14:textId="4348CBD6">
            <w:pPr>
              <w:jc w:val="left"/>
              <w:rPr>
                <w:rFonts w:eastAsiaTheme="minorEastAsia"/>
                <w:b/>
                <w:bCs/>
                <w:sz w:val="22"/>
                <w:szCs w:val="22"/>
              </w:rPr>
            </w:pPr>
            <w:r w:rsidRPr="5C73ABFE">
              <w:rPr>
                <w:rFonts w:eastAsiaTheme="minorEastAsia"/>
                <w:b/>
                <w:bCs/>
                <w:sz w:val="22"/>
                <w:szCs w:val="22"/>
              </w:rPr>
              <w:t>SAFETY</w:t>
            </w:r>
          </w:p>
          <w:p w:rsidR="5C73ABFE" w:rsidP="5C73ABFE" w:rsidRDefault="5C73ABFE" w14:paraId="77AF5D91" w14:textId="7E8E9E43">
            <w:pPr>
              <w:jc w:val="left"/>
              <w:rPr>
                <w:rFonts w:eastAsiaTheme="minorEastAsia"/>
                <w:b/>
                <w:bCs/>
                <w:sz w:val="22"/>
                <w:szCs w:val="22"/>
              </w:rPr>
            </w:pPr>
            <w:r w:rsidRPr="5C73ABFE">
              <w:rPr>
                <w:rFonts w:eastAsiaTheme="minorEastAsia"/>
                <w:b/>
                <w:bCs/>
                <w:sz w:val="22"/>
                <w:szCs w:val="22"/>
              </w:rPr>
              <w:t>Measures</w:t>
            </w:r>
          </w:p>
        </w:tc>
        <w:tc>
          <w:tcPr>
            <w:tcW w:w="8340" w:type="dxa"/>
            <w:tcMar/>
          </w:tcPr>
          <w:p w:rsidR="5C73ABFE" w:rsidP="5C73ABFE" w:rsidRDefault="544004F7" w14:paraId="23F2D875" w14:textId="7303EE19">
            <w:pPr>
              <w:jc w:val="left"/>
              <w:rPr>
                <w:sz w:val="22"/>
                <w:szCs w:val="22"/>
              </w:rPr>
            </w:pPr>
            <w:r w:rsidRPr="544004F7">
              <w:rPr>
                <w:sz w:val="22"/>
                <w:szCs w:val="22"/>
              </w:rPr>
              <w:t>No open flame is permitted within Sunset Bay Villas property.</w:t>
            </w:r>
          </w:p>
        </w:tc>
      </w:tr>
      <w:tr w:rsidR="000617AB" w:rsidTr="39509CD7" w14:paraId="66BF2357" w14:textId="77777777">
        <w:trPr>
          <w:trHeight w:val="300"/>
        </w:trPr>
        <w:tc>
          <w:tcPr>
            <w:tcW w:w="600" w:type="dxa"/>
            <w:tcMar/>
          </w:tcPr>
          <w:p w:rsidRPr="005406FC" w:rsidR="007D0A35" w:rsidP="5C73ABFE" w:rsidRDefault="5C73ABFE" w14:paraId="6F804A8F" w14:textId="6A00B2F7">
            <w:pPr>
              <w:jc w:val="left"/>
              <w:rPr>
                <w:rFonts w:eastAsiaTheme="minorEastAsia"/>
                <w:sz w:val="22"/>
                <w:szCs w:val="22"/>
              </w:rPr>
            </w:pPr>
            <w:r w:rsidRPr="5C73ABFE">
              <w:rPr>
                <w:rFonts w:eastAsiaTheme="minorEastAsia"/>
                <w:sz w:val="22"/>
                <w:szCs w:val="22"/>
              </w:rPr>
              <w:t>6</w:t>
            </w:r>
          </w:p>
        </w:tc>
        <w:tc>
          <w:tcPr>
            <w:tcW w:w="1650" w:type="dxa"/>
            <w:tcMar/>
          </w:tcPr>
          <w:p w:rsidRPr="007D0458" w:rsidR="007D0A35" w:rsidP="26127E42" w:rsidRDefault="5D45043D" w14:paraId="1C115342" w14:textId="51741E5B">
            <w:pPr>
              <w:jc w:val="left"/>
              <w:rPr>
                <w:rFonts w:eastAsiaTheme="minorEastAsia"/>
                <w:b/>
                <w:bCs/>
                <w:sz w:val="22"/>
                <w:szCs w:val="22"/>
              </w:rPr>
            </w:pPr>
            <w:r w:rsidRPr="5D45043D">
              <w:rPr>
                <w:rFonts w:eastAsiaTheme="minorEastAsia"/>
                <w:b/>
                <w:bCs/>
                <w:sz w:val="22"/>
                <w:szCs w:val="22"/>
              </w:rPr>
              <w:t>SAFETY</w:t>
            </w:r>
          </w:p>
          <w:p w:rsidRPr="007D0458" w:rsidR="007D0A35" w:rsidP="26127E42" w:rsidRDefault="5D45043D" w14:paraId="27B94B48" w14:textId="0B53B4C8">
            <w:pPr>
              <w:jc w:val="left"/>
              <w:rPr>
                <w:rFonts w:eastAsiaTheme="minorEastAsia"/>
                <w:b/>
                <w:bCs/>
                <w:sz w:val="22"/>
                <w:szCs w:val="22"/>
              </w:rPr>
            </w:pPr>
            <w:r w:rsidRPr="5D45043D">
              <w:rPr>
                <w:rFonts w:eastAsiaTheme="minorEastAsia"/>
                <w:b/>
                <w:bCs/>
                <w:sz w:val="22"/>
                <w:szCs w:val="22"/>
              </w:rPr>
              <w:t>Measures</w:t>
            </w:r>
          </w:p>
        </w:tc>
        <w:tc>
          <w:tcPr>
            <w:tcW w:w="8340" w:type="dxa"/>
            <w:tcMar/>
          </w:tcPr>
          <w:p w:rsidRPr="00BC2854" w:rsidR="007D0A35" w:rsidP="5D45043D" w:rsidRDefault="5D45043D" w14:paraId="0A89E266" w14:textId="4A3F5A18">
            <w:pPr>
              <w:jc w:val="left"/>
              <w:rPr>
                <w:sz w:val="22"/>
                <w:szCs w:val="22"/>
              </w:rPr>
            </w:pPr>
            <w:r w:rsidRPr="5D45043D">
              <w:rPr>
                <w:sz w:val="22"/>
                <w:szCs w:val="22"/>
              </w:rPr>
              <w:t xml:space="preserve">Concerning elevator use, rules and safety codes issued and posted inside elevators must be followed. </w:t>
            </w:r>
          </w:p>
        </w:tc>
      </w:tr>
      <w:tr w:rsidR="003E334C" w:rsidTr="39509CD7" w14:paraId="387C3B1C" w14:textId="77777777">
        <w:trPr>
          <w:trHeight w:val="300"/>
        </w:trPr>
        <w:tc>
          <w:tcPr>
            <w:tcW w:w="600" w:type="dxa"/>
            <w:tcMar/>
          </w:tcPr>
          <w:p w:rsidRPr="005406FC" w:rsidR="007D0A35" w:rsidP="5C73ABFE" w:rsidRDefault="5C73ABFE" w14:paraId="536DC99E" w14:textId="0333079E">
            <w:pPr>
              <w:jc w:val="left"/>
              <w:rPr>
                <w:rFonts w:eastAsiaTheme="minorEastAsia"/>
                <w:sz w:val="22"/>
                <w:szCs w:val="22"/>
              </w:rPr>
            </w:pPr>
            <w:r w:rsidRPr="5C73ABFE">
              <w:rPr>
                <w:rFonts w:eastAsiaTheme="minorEastAsia"/>
                <w:sz w:val="22"/>
                <w:szCs w:val="22"/>
              </w:rPr>
              <w:t>7</w:t>
            </w:r>
          </w:p>
        </w:tc>
        <w:tc>
          <w:tcPr>
            <w:tcW w:w="1650" w:type="dxa"/>
            <w:tcMar/>
          </w:tcPr>
          <w:p w:rsidRPr="007D0458" w:rsidR="007D0A35" w:rsidP="26127E42" w:rsidRDefault="5D45043D" w14:paraId="35DC8319" w14:textId="079BC894">
            <w:pPr>
              <w:jc w:val="left"/>
              <w:rPr>
                <w:rFonts w:eastAsiaTheme="minorEastAsia"/>
                <w:b/>
                <w:bCs/>
                <w:sz w:val="22"/>
                <w:szCs w:val="22"/>
              </w:rPr>
            </w:pPr>
            <w:r w:rsidRPr="5D45043D">
              <w:rPr>
                <w:rFonts w:eastAsiaTheme="minorEastAsia"/>
                <w:b/>
                <w:bCs/>
                <w:sz w:val="22"/>
                <w:szCs w:val="22"/>
              </w:rPr>
              <w:t>SAFETY Measures</w:t>
            </w:r>
          </w:p>
        </w:tc>
        <w:tc>
          <w:tcPr>
            <w:tcW w:w="8340" w:type="dxa"/>
            <w:tcMar/>
          </w:tcPr>
          <w:p w:rsidRPr="00BC2854" w:rsidR="007D0A35" w:rsidP="5D45043D" w:rsidRDefault="544004F7" w14:paraId="679E219C" w14:textId="4BC9BD30">
            <w:pPr>
              <w:jc w:val="left"/>
              <w:rPr>
                <w:sz w:val="22"/>
                <w:szCs w:val="22"/>
              </w:rPr>
            </w:pPr>
            <w:r w:rsidRPr="544004F7">
              <w:rPr>
                <w:sz w:val="22"/>
                <w:szCs w:val="22"/>
              </w:rPr>
              <w:t xml:space="preserve">Nothing may be done, kept in any unit, or on premises which may increase the rate of insurance, result in cancellation of insurance or </w:t>
            </w:r>
            <w:proofErr w:type="gramStart"/>
            <w:r w:rsidRPr="544004F7">
              <w:rPr>
                <w:sz w:val="22"/>
                <w:szCs w:val="22"/>
              </w:rPr>
              <w:t>be</w:t>
            </w:r>
            <w:proofErr w:type="gramEnd"/>
            <w:r w:rsidRPr="544004F7">
              <w:rPr>
                <w:sz w:val="22"/>
                <w:szCs w:val="22"/>
              </w:rPr>
              <w:t xml:space="preserve"> in violation of State and/or local laws.</w:t>
            </w:r>
          </w:p>
        </w:tc>
      </w:tr>
      <w:tr w:rsidR="003E334C" w:rsidTr="39509CD7" w14:paraId="701BB75B" w14:textId="77777777">
        <w:trPr>
          <w:trHeight w:val="300"/>
        </w:trPr>
        <w:tc>
          <w:tcPr>
            <w:tcW w:w="600" w:type="dxa"/>
            <w:tcMar/>
          </w:tcPr>
          <w:p w:rsidRPr="005406FC" w:rsidR="00BF4668" w:rsidP="5C73ABFE" w:rsidRDefault="5C73ABFE" w14:paraId="10F4680F" w14:textId="619B64B0">
            <w:pPr>
              <w:jc w:val="left"/>
              <w:rPr>
                <w:rFonts w:eastAsiaTheme="minorEastAsia"/>
                <w:sz w:val="22"/>
                <w:szCs w:val="22"/>
              </w:rPr>
            </w:pPr>
            <w:r w:rsidRPr="5C73ABFE">
              <w:rPr>
                <w:rFonts w:eastAsiaTheme="minorEastAsia"/>
                <w:sz w:val="22"/>
                <w:szCs w:val="22"/>
              </w:rPr>
              <w:t>8</w:t>
            </w:r>
          </w:p>
        </w:tc>
        <w:tc>
          <w:tcPr>
            <w:tcW w:w="1650" w:type="dxa"/>
            <w:tcMar/>
          </w:tcPr>
          <w:p w:rsidRPr="007D0458" w:rsidR="00BF4668" w:rsidP="26127E42" w:rsidRDefault="5D45043D" w14:paraId="0B48B47C" w14:textId="4AA790F7">
            <w:pPr>
              <w:jc w:val="left"/>
              <w:rPr>
                <w:rFonts w:eastAsiaTheme="minorEastAsia"/>
                <w:b/>
                <w:bCs/>
                <w:sz w:val="22"/>
                <w:szCs w:val="22"/>
              </w:rPr>
            </w:pPr>
            <w:r w:rsidRPr="5D45043D">
              <w:rPr>
                <w:rFonts w:eastAsiaTheme="minorEastAsia"/>
                <w:b/>
                <w:bCs/>
                <w:sz w:val="22"/>
                <w:szCs w:val="22"/>
              </w:rPr>
              <w:t>ACCESS</w:t>
            </w:r>
          </w:p>
        </w:tc>
        <w:tc>
          <w:tcPr>
            <w:tcW w:w="8340" w:type="dxa"/>
            <w:tcMar/>
          </w:tcPr>
          <w:p w:rsidRPr="00BC2854" w:rsidR="00BF4668" w:rsidP="5D45043D" w:rsidRDefault="5D45043D" w14:paraId="7F40B2E3" w14:textId="219ECB56">
            <w:pPr>
              <w:jc w:val="left"/>
              <w:rPr>
                <w:sz w:val="22"/>
                <w:szCs w:val="22"/>
              </w:rPr>
            </w:pPr>
            <w:r w:rsidRPr="5D45043D">
              <w:rPr>
                <w:sz w:val="22"/>
                <w:szCs w:val="22"/>
              </w:rPr>
              <w:t xml:space="preserve">Sidewalks, entrances, passages, halls, corridors and stairways must be kept orderly, allowing appropriate ingress to or </w:t>
            </w:r>
            <w:proofErr w:type="gramStart"/>
            <w:r w:rsidRPr="5D45043D">
              <w:rPr>
                <w:sz w:val="22"/>
                <w:szCs w:val="22"/>
              </w:rPr>
              <w:t>egress</w:t>
            </w:r>
            <w:proofErr w:type="gramEnd"/>
            <w:r w:rsidRPr="5D45043D">
              <w:rPr>
                <w:sz w:val="22"/>
                <w:szCs w:val="22"/>
              </w:rPr>
              <w:t xml:space="preserve"> from buildings.  </w:t>
            </w:r>
          </w:p>
        </w:tc>
      </w:tr>
      <w:tr w:rsidR="003E334C" w:rsidTr="39509CD7" w14:paraId="6F8BE625" w14:textId="77777777">
        <w:trPr>
          <w:trHeight w:val="300"/>
        </w:trPr>
        <w:tc>
          <w:tcPr>
            <w:tcW w:w="600" w:type="dxa"/>
            <w:tcMar/>
          </w:tcPr>
          <w:p w:rsidRPr="005406FC" w:rsidR="00BF4668" w:rsidP="5C73ABFE" w:rsidRDefault="5C73ABFE" w14:paraId="725618DD" w14:textId="5D740BAC">
            <w:pPr>
              <w:jc w:val="left"/>
              <w:rPr>
                <w:rFonts w:eastAsiaTheme="minorEastAsia"/>
                <w:sz w:val="22"/>
                <w:szCs w:val="22"/>
              </w:rPr>
            </w:pPr>
            <w:r w:rsidRPr="5C73ABFE">
              <w:rPr>
                <w:rFonts w:eastAsiaTheme="minorEastAsia"/>
                <w:sz w:val="22"/>
                <w:szCs w:val="22"/>
              </w:rPr>
              <w:t>9</w:t>
            </w:r>
          </w:p>
        </w:tc>
        <w:tc>
          <w:tcPr>
            <w:tcW w:w="1650" w:type="dxa"/>
            <w:tcMar/>
          </w:tcPr>
          <w:p w:rsidR="00BF4668" w:rsidP="26127E42" w:rsidRDefault="5D45043D" w14:paraId="2CFFDB52" w14:textId="77777777">
            <w:pPr>
              <w:jc w:val="left"/>
              <w:rPr>
                <w:rFonts w:eastAsiaTheme="minorEastAsia"/>
                <w:b/>
                <w:bCs/>
                <w:sz w:val="22"/>
                <w:szCs w:val="22"/>
              </w:rPr>
            </w:pPr>
            <w:r w:rsidRPr="5D45043D">
              <w:rPr>
                <w:rFonts w:eastAsiaTheme="minorEastAsia"/>
                <w:b/>
                <w:bCs/>
                <w:sz w:val="22"/>
                <w:szCs w:val="22"/>
              </w:rPr>
              <w:t>ACCESS</w:t>
            </w:r>
          </w:p>
          <w:p w:rsidRPr="005406FC" w:rsidR="00184824" w:rsidP="26127E42" w:rsidRDefault="00184824" w14:paraId="4D441993" w14:textId="77777777">
            <w:pPr>
              <w:jc w:val="left"/>
              <w:rPr>
                <w:rFonts w:eastAsiaTheme="minorEastAsia"/>
                <w:b/>
                <w:bCs/>
                <w:sz w:val="22"/>
                <w:szCs w:val="22"/>
              </w:rPr>
            </w:pPr>
          </w:p>
          <w:p w:rsidRPr="007D0458" w:rsidR="00184824" w:rsidP="5D45043D" w:rsidRDefault="5D45043D" w14:paraId="6C04CB65" w14:textId="147C83E3">
            <w:pPr>
              <w:jc w:val="left"/>
              <w:rPr>
                <w:rFonts w:eastAsiaTheme="minorEastAsia"/>
                <w:i/>
                <w:iCs/>
                <w:sz w:val="22"/>
                <w:szCs w:val="22"/>
              </w:rPr>
            </w:pPr>
            <w:r w:rsidRPr="5D45043D">
              <w:rPr>
                <w:rFonts w:eastAsiaTheme="minorEastAsia"/>
                <w:i/>
                <w:iCs/>
                <w:sz w:val="22"/>
                <w:szCs w:val="22"/>
              </w:rPr>
              <w:t>inspection</w:t>
            </w:r>
          </w:p>
        </w:tc>
        <w:tc>
          <w:tcPr>
            <w:tcW w:w="8340" w:type="dxa"/>
            <w:tcMar/>
          </w:tcPr>
          <w:p w:rsidRPr="00BC2854" w:rsidR="00BF4668" w:rsidP="5D45043D" w:rsidRDefault="544004F7" w14:paraId="0EFBDE4D" w14:textId="749B6B3F">
            <w:pPr>
              <w:jc w:val="left"/>
              <w:rPr>
                <w:sz w:val="22"/>
                <w:szCs w:val="22"/>
              </w:rPr>
            </w:pPr>
            <w:r w:rsidRPr="544004F7">
              <w:rPr>
                <w:sz w:val="22"/>
                <w:szCs w:val="22"/>
              </w:rPr>
              <w:t>An agent of the BOD,  or authorized by the BOD, may enter by appointment a unit at any reasonable hour of the day for the purpose of inspecting for presence of vermin, insects, or other pests or taking measures as necessary to control or exterminate in a reasonable manner so as not to unreasonably interfere with the use of the unit for permitted purposes.</w:t>
            </w:r>
          </w:p>
        </w:tc>
      </w:tr>
      <w:tr w:rsidR="003E334C" w:rsidTr="39509CD7" w14:paraId="75148A1F" w14:textId="77777777">
        <w:trPr>
          <w:trHeight w:val="300"/>
        </w:trPr>
        <w:tc>
          <w:tcPr>
            <w:tcW w:w="600" w:type="dxa"/>
            <w:tcMar/>
          </w:tcPr>
          <w:p w:rsidRPr="005406FC" w:rsidR="00BF4668" w:rsidP="5C73ABFE" w:rsidRDefault="5C73ABFE" w14:paraId="4CB1C6DD" w14:textId="0DCA5A92">
            <w:pPr>
              <w:jc w:val="left"/>
              <w:rPr>
                <w:rFonts w:eastAsiaTheme="minorEastAsia"/>
                <w:sz w:val="22"/>
                <w:szCs w:val="22"/>
              </w:rPr>
            </w:pPr>
            <w:r w:rsidRPr="5C73ABFE">
              <w:rPr>
                <w:rFonts w:eastAsiaTheme="minorEastAsia"/>
                <w:sz w:val="22"/>
                <w:szCs w:val="22"/>
              </w:rPr>
              <w:t>10</w:t>
            </w:r>
          </w:p>
        </w:tc>
        <w:tc>
          <w:tcPr>
            <w:tcW w:w="1650" w:type="dxa"/>
            <w:tcMar/>
          </w:tcPr>
          <w:p w:rsidRPr="007D0458" w:rsidR="00BF4668" w:rsidP="26127E42" w:rsidRDefault="5D45043D" w14:paraId="5BE20716" w14:textId="11B2767F">
            <w:pPr>
              <w:jc w:val="left"/>
              <w:rPr>
                <w:rFonts w:eastAsiaTheme="minorEastAsia"/>
                <w:b/>
                <w:bCs/>
                <w:sz w:val="22"/>
                <w:szCs w:val="22"/>
              </w:rPr>
            </w:pPr>
            <w:r w:rsidRPr="5D45043D">
              <w:rPr>
                <w:rFonts w:eastAsiaTheme="minorEastAsia"/>
                <w:b/>
                <w:bCs/>
                <w:sz w:val="22"/>
                <w:szCs w:val="22"/>
              </w:rPr>
              <w:t>CIVILITY</w:t>
            </w:r>
          </w:p>
          <w:p w:rsidRPr="007D0458" w:rsidR="00BF4668" w:rsidP="26127E42" w:rsidRDefault="5D45043D" w14:paraId="333D2DCA" w14:textId="05078C6C">
            <w:pPr>
              <w:jc w:val="left"/>
              <w:rPr>
                <w:rFonts w:eastAsiaTheme="minorEastAsia"/>
                <w:sz w:val="22"/>
                <w:szCs w:val="22"/>
              </w:rPr>
            </w:pPr>
            <w:r w:rsidRPr="5D45043D">
              <w:rPr>
                <w:rFonts w:eastAsiaTheme="minorEastAsia"/>
                <w:sz w:val="22"/>
                <w:szCs w:val="22"/>
              </w:rPr>
              <w:t>leash</w:t>
            </w:r>
          </w:p>
          <w:p w:rsidRPr="007D0458" w:rsidR="00BF4668" w:rsidP="26127E42" w:rsidRDefault="5D45043D" w14:paraId="5B26EDB1" w14:textId="46171206">
            <w:pPr>
              <w:jc w:val="left"/>
              <w:rPr>
                <w:rFonts w:eastAsiaTheme="minorEastAsia"/>
                <w:b/>
                <w:bCs/>
                <w:sz w:val="22"/>
                <w:szCs w:val="22"/>
              </w:rPr>
            </w:pPr>
            <w:r w:rsidRPr="5D45043D">
              <w:rPr>
                <w:rFonts w:eastAsiaTheme="minorEastAsia"/>
                <w:sz w:val="22"/>
                <w:szCs w:val="22"/>
              </w:rPr>
              <w:t>law</w:t>
            </w:r>
          </w:p>
        </w:tc>
        <w:tc>
          <w:tcPr>
            <w:tcW w:w="8340" w:type="dxa"/>
            <w:tcMar/>
          </w:tcPr>
          <w:p w:rsidR="002C07A1" w:rsidP="5D45043D" w:rsidRDefault="5D45043D" w14:paraId="5A459DCA" w14:textId="77777777">
            <w:pPr>
              <w:jc w:val="left"/>
              <w:rPr>
                <w:sz w:val="22"/>
                <w:szCs w:val="22"/>
              </w:rPr>
            </w:pPr>
            <w:r w:rsidRPr="5D45043D">
              <w:rPr>
                <w:sz w:val="22"/>
                <w:szCs w:val="22"/>
              </w:rPr>
              <w:t xml:space="preserve">Pursuant to </w:t>
            </w:r>
            <w:proofErr w:type="gramStart"/>
            <w:r w:rsidRPr="5D45043D">
              <w:rPr>
                <w:sz w:val="22"/>
                <w:szCs w:val="22"/>
              </w:rPr>
              <w:t>City</w:t>
            </w:r>
            <w:proofErr w:type="gramEnd"/>
            <w:r w:rsidRPr="5D45043D">
              <w:rPr>
                <w:sz w:val="22"/>
                <w:szCs w:val="22"/>
              </w:rPr>
              <w:t xml:space="preserve"> of Daphne, dogs must remain on leash.  </w:t>
            </w:r>
          </w:p>
          <w:p w:rsidRPr="00BC2854" w:rsidR="00BF4668" w:rsidP="5C73ABFE" w:rsidRDefault="5C73ABFE" w14:paraId="7F798C9E" w14:textId="29B7B845">
            <w:pPr>
              <w:jc w:val="left"/>
              <w:rPr>
                <w:rFonts w:eastAsiaTheme="minorEastAsia"/>
                <w:sz w:val="22"/>
                <w:szCs w:val="22"/>
              </w:rPr>
            </w:pPr>
            <w:r w:rsidRPr="5C73ABFE">
              <w:rPr>
                <w:rFonts w:eastAsiaTheme="minorEastAsia"/>
                <w:sz w:val="22"/>
                <w:szCs w:val="22"/>
              </w:rPr>
              <w:t xml:space="preserve">Pet waste must be picked up and disposed of properly and immediately by the pet owner.  Pet waste </w:t>
            </w:r>
            <w:r w:rsidRPr="5C73ABFE">
              <w:rPr>
                <w:rFonts w:eastAsiaTheme="minorEastAsia"/>
                <w:sz w:val="22"/>
                <w:szCs w:val="22"/>
                <w:u w:val="single"/>
              </w:rPr>
              <w:t>may not</w:t>
            </w:r>
            <w:r w:rsidRPr="5C73ABFE">
              <w:rPr>
                <w:rFonts w:eastAsiaTheme="minorEastAsia"/>
                <w:sz w:val="22"/>
                <w:szCs w:val="22"/>
              </w:rPr>
              <w:t xml:space="preserve"> be placed in waste cans at pool, pavilion, or pier.</w:t>
            </w:r>
          </w:p>
        </w:tc>
      </w:tr>
      <w:tr w:rsidR="003E334C" w:rsidTr="39509CD7" w14:paraId="0CFA894F" w14:textId="77777777">
        <w:trPr>
          <w:trHeight w:val="300"/>
        </w:trPr>
        <w:tc>
          <w:tcPr>
            <w:tcW w:w="600" w:type="dxa"/>
            <w:tcMar/>
          </w:tcPr>
          <w:p w:rsidRPr="00BC2854" w:rsidR="007D0A35" w:rsidP="5C73ABFE" w:rsidRDefault="5C73ABFE" w14:paraId="3003C9DD" w14:textId="384B1FD7">
            <w:pPr>
              <w:jc w:val="left"/>
              <w:rPr>
                <w:rFonts w:eastAsiaTheme="minorEastAsia"/>
                <w:sz w:val="22"/>
                <w:szCs w:val="22"/>
              </w:rPr>
            </w:pPr>
            <w:r w:rsidRPr="5C73ABFE">
              <w:rPr>
                <w:rFonts w:eastAsiaTheme="minorEastAsia"/>
                <w:sz w:val="22"/>
                <w:szCs w:val="22"/>
              </w:rPr>
              <w:t>11</w:t>
            </w:r>
          </w:p>
        </w:tc>
        <w:tc>
          <w:tcPr>
            <w:tcW w:w="1650" w:type="dxa"/>
            <w:tcMar/>
          </w:tcPr>
          <w:p w:rsidRPr="007D0458" w:rsidR="007D0A35" w:rsidP="26127E42" w:rsidRDefault="5D45043D" w14:paraId="1C63EDD7" w14:textId="66C1C790">
            <w:pPr>
              <w:jc w:val="left"/>
              <w:rPr>
                <w:rFonts w:eastAsiaTheme="minorEastAsia"/>
                <w:b/>
                <w:bCs/>
                <w:sz w:val="22"/>
                <w:szCs w:val="22"/>
              </w:rPr>
            </w:pPr>
            <w:r w:rsidRPr="5D45043D">
              <w:rPr>
                <w:rFonts w:eastAsiaTheme="minorEastAsia"/>
                <w:b/>
                <w:bCs/>
                <w:sz w:val="22"/>
                <w:szCs w:val="22"/>
              </w:rPr>
              <w:t>CIVILITY</w:t>
            </w:r>
          </w:p>
        </w:tc>
        <w:tc>
          <w:tcPr>
            <w:tcW w:w="8340" w:type="dxa"/>
            <w:tcMar/>
          </w:tcPr>
          <w:p w:rsidRPr="00BC2854" w:rsidR="007D0A35" w:rsidP="5D45043D" w:rsidRDefault="5C73ABFE" w14:paraId="40A820AE" w14:textId="19A59B4A">
            <w:pPr>
              <w:jc w:val="left"/>
              <w:rPr>
                <w:sz w:val="22"/>
                <w:szCs w:val="22"/>
              </w:rPr>
            </w:pPr>
            <w:r w:rsidRPr="5C73ABFE">
              <w:rPr>
                <w:sz w:val="22"/>
                <w:szCs w:val="22"/>
              </w:rPr>
              <w:t xml:space="preserve">SBV residents are responsible for the conduct of their visitors.  Residents must remain in the company of visitors while utilizing SBV amenities.  </w:t>
            </w:r>
          </w:p>
        </w:tc>
      </w:tr>
      <w:tr w:rsidR="003E334C" w:rsidTr="39509CD7" w14:paraId="1C57B7F1" w14:textId="77777777">
        <w:trPr>
          <w:trHeight w:val="300"/>
        </w:trPr>
        <w:tc>
          <w:tcPr>
            <w:tcW w:w="600" w:type="dxa"/>
            <w:tcMar/>
          </w:tcPr>
          <w:p w:rsidRPr="00BC2854" w:rsidR="007D0A35" w:rsidP="5C73ABFE" w:rsidRDefault="5C73ABFE" w14:paraId="027243DD" w14:textId="035A3571">
            <w:pPr>
              <w:jc w:val="left"/>
              <w:rPr>
                <w:rFonts w:eastAsiaTheme="minorEastAsia"/>
                <w:sz w:val="22"/>
                <w:szCs w:val="22"/>
              </w:rPr>
            </w:pPr>
            <w:r w:rsidRPr="5C73ABFE">
              <w:rPr>
                <w:rFonts w:eastAsiaTheme="minorEastAsia"/>
                <w:sz w:val="22"/>
                <w:szCs w:val="22"/>
              </w:rPr>
              <w:lastRenderedPageBreak/>
              <w:t>12</w:t>
            </w:r>
          </w:p>
        </w:tc>
        <w:tc>
          <w:tcPr>
            <w:tcW w:w="1650" w:type="dxa"/>
            <w:tcMar/>
          </w:tcPr>
          <w:p w:rsidRPr="007D0458" w:rsidR="007D0A35" w:rsidP="26127E42" w:rsidRDefault="5D45043D" w14:paraId="6AD83A1B" w14:textId="7B35FFAD">
            <w:pPr>
              <w:jc w:val="left"/>
              <w:rPr>
                <w:rFonts w:eastAsiaTheme="minorEastAsia"/>
                <w:b/>
                <w:bCs/>
                <w:sz w:val="22"/>
                <w:szCs w:val="22"/>
              </w:rPr>
            </w:pPr>
            <w:r w:rsidRPr="5D45043D">
              <w:rPr>
                <w:rFonts w:eastAsiaTheme="minorEastAsia"/>
                <w:b/>
                <w:bCs/>
                <w:sz w:val="22"/>
                <w:szCs w:val="22"/>
              </w:rPr>
              <w:t>CIVILITY</w:t>
            </w:r>
          </w:p>
          <w:p w:rsidRPr="005406FC" w:rsidR="007D0A35" w:rsidP="26127E42" w:rsidRDefault="007D0A35" w14:paraId="13EEE438" w14:textId="63925D44">
            <w:pPr>
              <w:jc w:val="left"/>
              <w:rPr>
                <w:rFonts w:eastAsiaTheme="minorEastAsia"/>
                <w:b/>
                <w:bCs/>
                <w:sz w:val="22"/>
                <w:szCs w:val="22"/>
              </w:rPr>
            </w:pPr>
          </w:p>
          <w:p w:rsidRPr="007D0458" w:rsidR="007D0A35" w:rsidP="5D45043D" w:rsidRDefault="5D45043D" w14:paraId="74A2368B" w14:textId="56F36262">
            <w:pPr>
              <w:jc w:val="left"/>
              <w:rPr>
                <w:rFonts w:eastAsiaTheme="minorEastAsia"/>
                <w:i/>
                <w:iCs/>
                <w:sz w:val="22"/>
                <w:szCs w:val="22"/>
              </w:rPr>
            </w:pPr>
            <w:r w:rsidRPr="5D45043D">
              <w:rPr>
                <w:rFonts w:eastAsiaTheme="minorEastAsia"/>
                <w:i/>
                <w:iCs/>
                <w:sz w:val="22"/>
                <w:szCs w:val="22"/>
              </w:rPr>
              <w:t>garbage</w:t>
            </w:r>
          </w:p>
        </w:tc>
        <w:tc>
          <w:tcPr>
            <w:tcW w:w="8340" w:type="dxa"/>
            <w:tcMar/>
          </w:tcPr>
          <w:p w:rsidRPr="00BC2854" w:rsidR="007D0A35" w:rsidP="5D45043D" w:rsidRDefault="5D45043D" w14:paraId="0E137AB9" w14:textId="43A23207">
            <w:pPr>
              <w:jc w:val="left"/>
              <w:rPr>
                <w:sz w:val="22"/>
                <w:szCs w:val="22"/>
              </w:rPr>
            </w:pPr>
            <w:r w:rsidRPr="5D45043D">
              <w:rPr>
                <w:sz w:val="22"/>
                <w:szCs w:val="22"/>
              </w:rPr>
              <w:t xml:space="preserve">Wet garbage </w:t>
            </w:r>
            <w:r w:rsidRPr="5D45043D">
              <w:rPr>
                <w:sz w:val="22"/>
                <w:szCs w:val="22"/>
                <w:u w:val="single"/>
              </w:rPr>
              <w:t>must be enclosed in proper bags</w:t>
            </w:r>
            <w:r w:rsidRPr="5D45043D">
              <w:rPr>
                <w:sz w:val="22"/>
                <w:szCs w:val="22"/>
              </w:rPr>
              <w:t xml:space="preserve"> before placing in waste cans   provided at the pool, pavilion, and pier.  This will deter insects and rodents which may, by proximity, invade homeowner units.</w:t>
            </w:r>
          </w:p>
        </w:tc>
      </w:tr>
      <w:tr w:rsidR="003E334C" w:rsidTr="39509CD7" w14:paraId="52868D3B" w14:textId="77777777">
        <w:trPr>
          <w:trHeight w:val="300"/>
        </w:trPr>
        <w:tc>
          <w:tcPr>
            <w:tcW w:w="600" w:type="dxa"/>
            <w:tcMar/>
          </w:tcPr>
          <w:p w:rsidRPr="00BC2854" w:rsidR="007D0A35" w:rsidP="5C73ABFE" w:rsidRDefault="5C73ABFE" w14:paraId="6C385CE2" w14:textId="5AAFDE8F">
            <w:pPr>
              <w:jc w:val="left"/>
              <w:rPr>
                <w:rFonts w:eastAsiaTheme="minorEastAsia"/>
                <w:sz w:val="22"/>
                <w:szCs w:val="22"/>
              </w:rPr>
            </w:pPr>
            <w:r w:rsidRPr="5C73ABFE">
              <w:rPr>
                <w:rFonts w:eastAsiaTheme="minorEastAsia"/>
                <w:sz w:val="22"/>
                <w:szCs w:val="22"/>
              </w:rPr>
              <w:t>13</w:t>
            </w:r>
          </w:p>
        </w:tc>
        <w:tc>
          <w:tcPr>
            <w:tcW w:w="1650" w:type="dxa"/>
            <w:tcMar/>
          </w:tcPr>
          <w:p w:rsidRPr="007D0458" w:rsidR="007D0A35" w:rsidP="26127E42" w:rsidRDefault="5D45043D" w14:paraId="38B4D2B3" w14:textId="5F472987">
            <w:pPr>
              <w:jc w:val="left"/>
              <w:rPr>
                <w:rFonts w:eastAsiaTheme="minorEastAsia"/>
                <w:b/>
                <w:bCs/>
                <w:sz w:val="22"/>
                <w:szCs w:val="22"/>
              </w:rPr>
            </w:pPr>
            <w:r w:rsidRPr="5D45043D">
              <w:rPr>
                <w:rFonts w:eastAsiaTheme="minorEastAsia"/>
                <w:b/>
                <w:bCs/>
                <w:sz w:val="22"/>
                <w:szCs w:val="22"/>
              </w:rPr>
              <w:t>CIVILITY</w:t>
            </w:r>
          </w:p>
          <w:p w:rsidRPr="005406FC" w:rsidR="007D0A35" w:rsidP="26127E42" w:rsidRDefault="007D0A35" w14:paraId="4013ED1A" w14:textId="15020BD0">
            <w:pPr>
              <w:jc w:val="left"/>
              <w:rPr>
                <w:rFonts w:eastAsiaTheme="minorEastAsia"/>
                <w:b/>
                <w:bCs/>
                <w:sz w:val="22"/>
                <w:szCs w:val="22"/>
              </w:rPr>
            </w:pPr>
          </w:p>
          <w:p w:rsidRPr="007D0458" w:rsidR="007D0A35" w:rsidP="5D45043D" w:rsidRDefault="5D45043D" w14:paraId="00DB9368" w14:textId="62072C6B">
            <w:pPr>
              <w:jc w:val="left"/>
              <w:rPr>
                <w:rFonts w:eastAsiaTheme="minorEastAsia"/>
                <w:i/>
                <w:iCs/>
                <w:sz w:val="22"/>
                <w:szCs w:val="22"/>
              </w:rPr>
            </w:pPr>
            <w:r w:rsidRPr="5D45043D">
              <w:rPr>
                <w:rFonts w:eastAsiaTheme="minorEastAsia"/>
                <w:i/>
                <w:iCs/>
                <w:sz w:val="22"/>
                <w:szCs w:val="22"/>
              </w:rPr>
              <w:t>noise</w:t>
            </w:r>
          </w:p>
          <w:p w:rsidRPr="007D0458" w:rsidR="007D0A35" w:rsidP="5D45043D" w:rsidRDefault="5D45043D" w14:paraId="49503D1E" w14:textId="6829F539">
            <w:pPr>
              <w:jc w:val="left"/>
              <w:rPr>
                <w:rFonts w:eastAsiaTheme="minorEastAsia"/>
                <w:i/>
                <w:iCs/>
                <w:sz w:val="22"/>
                <w:szCs w:val="22"/>
              </w:rPr>
            </w:pPr>
            <w:r w:rsidRPr="5D45043D">
              <w:rPr>
                <w:rFonts w:eastAsiaTheme="minorEastAsia"/>
                <w:i/>
                <w:iCs/>
                <w:sz w:val="22"/>
                <w:szCs w:val="22"/>
              </w:rPr>
              <w:t>ordinance</w:t>
            </w:r>
          </w:p>
        </w:tc>
        <w:tc>
          <w:tcPr>
            <w:tcW w:w="8340" w:type="dxa"/>
            <w:tcMar/>
          </w:tcPr>
          <w:p w:rsidR="00AF13AB" w:rsidP="5D45043D" w:rsidRDefault="544004F7" w14:paraId="138ADB17" w14:textId="69020099">
            <w:pPr>
              <w:jc w:val="left"/>
              <w:rPr>
                <w:sz w:val="22"/>
                <w:szCs w:val="22"/>
              </w:rPr>
            </w:pPr>
            <w:r w:rsidRPr="544004F7">
              <w:rPr>
                <w:sz w:val="22"/>
                <w:szCs w:val="22"/>
              </w:rPr>
              <w:t>In compliance with City of Daphne noise ordinance, no excessive noise levels after 10 p.m. and until 8:00 a.m.</w:t>
            </w:r>
          </w:p>
          <w:p w:rsidRPr="00BC2854" w:rsidR="00AA774D" w:rsidP="5D45043D" w:rsidRDefault="544004F7" w14:paraId="26457AD9" w14:textId="21AE4FDE">
            <w:pPr>
              <w:jc w:val="left"/>
              <w:rPr>
                <w:sz w:val="22"/>
                <w:szCs w:val="22"/>
              </w:rPr>
            </w:pPr>
            <w:r w:rsidRPr="544004F7">
              <w:rPr>
                <w:sz w:val="22"/>
                <w:szCs w:val="22"/>
              </w:rPr>
              <w:t>For Sunset Bay Villas Association, this includes, but is not limited to, musical instruments, vocal practice, modified vehicles, or any amplified noises.</w:t>
            </w:r>
          </w:p>
        </w:tc>
      </w:tr>
      <w:tr w:rsidR="003E334C" w:rsidTr="39509CD7" w14:paraId="7DB1D1A8" w14:textId="77777777">
        <w:trPr>
          <w:trHeight w:val="300"/>
        </w:trPr>
        <w:tc>
          <w:tcPr>
            <w:tcW w:w="600" w:type="dxa"/>
            <w:tcMar/>
          </w:tcPr>
          <w:p w:rsidRPr="00BC2854" w:rsidR="007D0A35" w:rsidP="5C73ABFE" w:rsidRDefault="5C73ABFE" w14:paraId="0EE4E555" w14:textId="0F9F6C9D">
            <w:pPr>
              <w:jc w:val="left"/>
              <w:rPr>
                <w:rFonts w:eastAsiaTheme="minorEastAsia"/>
                <w:sz w:val="22"/>
                <w:szCs w:val="22"/>
              </w:rPr>
            </w:pPr>
            <w:r w:rsidRPr="5C73ABFE">
              <w:rPr>
                <w:rFonts w:eastAsiaTheme="minorEastAsia"/>
                <w:sz w:val="22"/>
                <w:szCs w:val="22"/>
              </w:rPr>
              <w:t>14</w:t>
            </w:r>
          </w:p>
        </w:tc>
        <w:tc>
          <w:tcPr>
            <w:tcW w:w="1650" w:type="dxa"/>
            <w:tcMar/>
          </w:tcPr>
          <w:p w:rsidRPr="007D0458" w:rsidR="007D0A35" w:rsidP="26127E42" w:rsidRDefault="5D45043D" w14:paraId="7E3E99A2" w14:textId="0D3CDDF7">
            <w:pPr>
              <w:jc w:val="left"/>
              <w:rPr>
                <w:rFonts w:eastAsiaTheme="minorEastAsia"/>
                <w:b/>
                <w:bCs/>
                <w:sz w:val="22"/>
                <w:szCs w:val="22"/>
              </w:rPr>
            </w:pPr>
            <w:r w:rsidRPr="5D45043D">
              <w:rPr>
                <w:rFonts w:eastAsiaTheme="minorEastAsia"/>
                <w:b/>
                <w:bCs/>
                <w:sz w:val="22"/>
                <w:szCs w:val="22"/>
              </w:rPr>
              <w:t>CIVILITY</w:t>
            </w:r>
          </w:p>
        </w:tc>
        <w:tc>
          <w:tcPr>
            <w:tcW w:w="8340" w:type="dxa"/>
            <w:tcMar/>
          </w:tcPr>
          <w:p w:rsidRPr="00BC2854" w:rsidR="00FA1571" w:rsidP="5D45043D" w:rsidRDefault="544004F7" w14:paraId="4298DF0D" w14:textId="1293EB31">
            <w:pPr>
              <w:jc w:val="left"/>
              <w:rPr>
                <w:sz w:val="22"/>
                <w:szCs w:val="22"/>
              </w:rPr>
            </w:pPr>
            <w:r w:rsidRPr="544004F7">
              <w:rPr>
                <w:sz w:val="22"/>
                <w:szCs w:val="22"/>
              </w:rPr>
              <w:t xml:space="preserve">Construction and installations are permitted only during the hours of 8 a.m. and 5 p.m. on Monday – Friday unless Board approved. </w:t>
            </w:r>
          </w:p>
        </w:tc>
      </w:tr>
      <w:tr w:rsidR="26127E42" w:rsidTr="39509CD7" w14:paraId="78A84025" w14:textId="77777777">
        <w:trPr>
          <w:trHeight w:val="705"/>
        </w:trPr>
        <w:tc>
          <w:tcPr>
            <w:tcW w:w="600" w:type="dxa"/>
            <w:tcMar/>
          </w:tcPr>
          <w:p w:rsidRPr="005406FC" w:rsidR="26127E42" w:rsidP="5C73ABFE" w:rsidRDefault="5C73ABFE" w14:paraId="3BCED912" w14:textId="7CF1B16C">
            <w:pPr>
              <w:jc w:val="both"/>
              <w:rPr>
                <w:rFonts w:eastAsiaTheme="minorEastAsia"/>
                <w:sz w:val="22"/>
                <w:szCs w:val="22"/>
              </w:rPr>
            </w:pPr>
            <w:r w:rsidRPr="5C73ABFE">
              <w:rPr>
                <w:rFonts w:eastAsiaTheme="minorEastAsia"/>
                <w:sz w:val="22"/>
                <w:szCs w:val="22"/>
              </w:rPr>
              <w:t>15</w:t>
            </w:r>
          </w:p>
        </w:tc>
        <w:tc>
          <w:tcPr>
            <w:tcW w:w="1650" w:type="dxa"/>
            <w:tcMar/>
          </w:tcPr>
          <w:p w:rsidR="26127E42" w:rsidP="26127E42" w:rsidRDefault="5D45043D" w14:paraId="01C9A97B" w14:textId="0D3CDDF7">
            <w:pPr>
              <w:jc w:val="left"/>
              <w:rPr>
                <w:rFonts w:eastAsiaTheme="minorEastAsia"/>
                <w:b/>
                <w:bCs/>
                <w:sz w:val="22"/>
                <w:szCs w:val="22"/>
              </w:rPr>
            </w:pPr>
            <w:r w:rsidRPr="5D45043D">
              <w:rPr>
                <w:rFonts w:eastAsiaTheme="minorEastAsia"/>
                <w:b/>
                <w:bCs/>
                <w:sz w:val="22"/>
                <w:szCs w:val="22"/>
              </w:rPr>
              <w:t>CIVILITY</w:t>
            </w:r>
          </w:p>
          <w:p w:rsidRPr="005406FC" w:rsidR="26127E42" w:rsidP="26127E42" w:rsidRDefault="26127E42" w14:paraId="474A766F" w14:textId="762461B1">
            <w:pPr>
              <w:jc w:val="left"/>
              <w:rPr>
                <w:rFonts w:eastAsiaTheme="minorEastAsia"/>
                <w:b/>
                <w:bCs/>
                <w:sz w:val="22"/>
                <w:szCs w:val="22"/>
              </w:rPr>
            </w:pPr>
          </w:p>
        </w:tc>
        <w:tc>
          <w:tcPr>
            <w:tcW w:w="8340" w:type="dxa"/>
            <w:tcMar/>
          </w:tcPr>
          <w:p w:rsidR="26127E42" w:rsidP="26127E42" w:rsidRDefault="5C73ABFE" w14:paraId="45669280" w14:textId="77AA2B11">
            <w:pPr>
              <w:jc w:val="left"/>
            </w:pPr>
            <w:r>
              <w:t xml:space="preserve">Neither noxious nor offensive activities are permitted which pose an annoyance or nuisance to other residents.  The Board will acknowledge nuisance issues and make a good faith determination whether the complaint is legitimate. </w:t>
            </w:r>
          </w:p>
        </w:tc>
      </w:tr>
      <w:tr w:rsidR="003E334C" w:rsidTr="39509CD7" w14:paraId="5A6EA4AA" w14:textId="77777777">
        <w:trPr>
          <w:trHeight w:val="300"/>
        </w:trPr>
        <w:tc>
          <w:tcPr>
            <w:tcW w:w="600" w:type="dxa"/>
            <w:tcMar/>
          </w:tcPr>
          <w:p w:rsidR="007D0A35" w:rsidP="5C73ABFE" w:rsidRDefault="5C73ABFE" w14:paraId="271713E1" w14:textId="523EAD66">
            <w:pPr>
              <w:jc w:val="both"/>
              <w:rPr>
                <w:rFonts w:eastAsiaTheme="minorEastAsia"/>
                <w:sz w:val="22"/>
                <w:szCs w:val="22"/>
              </w:rPr>
            </w:pPr>
            <w:r w:rsidRPr="5C73ABFE">
              <w:rPr>
                <w:rFonts w:eastAsiaTheme="minorEastAsia"/>
                <w:sz w:val="22"/>
                <w:szCs w:val="22"/>
              </w:rPr>
              <w:t>16</w:t>
            </w:r>
          </w:p>
        </w:tc>
        <w:tc>
          <w:tcPr>
            <w:tcW w:w="1650" w:type="dxa"/>
            <w:tcMar/>
          </w:tcPr>
          <w:p w:rsidRPr="007D0458" w:rsidR="007D0A35" w:rsidP="26127E42" w:rsidRDefault="5D45043D" w14:paraId="3B6270A3" w14:textId="08B71E98">
            <w:pPr>
              <w:jc w:val="both"/>
              <w:rPr>
                <w:rFonts w:eastAsiaTheme="minorEastAsia"/>
                <w:b/>
                <w:bCs/>
                <w:sz w:val="22"/>
                <w:szCs w:val="22"/>
              </w:rPr>
            </w:pPr>
            <w:r w:rsidRPr="5D45043D">
              <w:rPr>
                <w:rFonts w:eastAsiaTheme="minorEastAsia"/>
                <w:b/>
                <w:bCs/>
                <w:sz w:val="22"/>
                <w:szCs w:val="22"/>
              </w:rPr>
              <w:t>Aesthetics</w:t>
            </w:r>
          </w:p>
        </w:tc>
        <w:tc>
          <w:tcPr>
            <w:tcW w:w="8340" w:type="dxa"/>
            <w:tcMar/>
          </w:tcPr>
          <w:p w:rsidR="007D0A35" w:rsidP="5D45043D" w:rsidRDefault="544004F7" w14:paraId="4A87E525" w14:textId="6EFFBED0">
            <w:pPr>
              <w:jc w:val="left"/>
            </w:pPr>
            <w:r>
              <w:t>Buildings with hallways are responsible for keeping hallways orderly and clear.</w:t>
            </w:r>
            <w:commentRangeStart w:id="1"/>
            <w:commentRangeStart w:id="2"/>
            <w:commentRangeStart w:id="3"/>
            <w:commentRangeEnd w:id="1"/>
            <w:r w:rsidR="5D45043D">
              <w:rPr>
                <w:rStyle w:val="CommentReference"/>
              </w:rPr>
              <w:commentReference w:id="1"/>
            </w:r>
            <w:commentRangeEnd w:id="2"/>
            <w:r w:rsidR="5D45043D">
              <w:rPr>
                <w:rStyle w:val="CommentReference"/>
              </w:rPr>
              <w:commentReference w:id="2"/>
            </w:r>
            <w:commentRangeEnd w:id="3"/>
            <w:r w:rsidR="5D45043D">
              <w:rPr>
                <w:rStyle w:val="CommentReference"/>
              </w:rPr>
              <w:commentReference w:id="3"/>
            </w:r>
          </w:p>
        </w:tc>
      </w:tr>
      <w:tr w:rsidR="003E334C" w:rsidTr="39509CD7" w14:paraId="18B57E54" w14:textId="77777777">
        <w:trPr>
          <w:trHeight w:val="300"/>
        </w:trPr>
        <w:tc>
          <w:tcPr>
            <w:tcW w:w="600" w:type="dxa"/>
            <w:tcMar/>
          </w:tcPr>
          <w:p w:rsidR="007D0A35" w:rsidP="5C73ABFE" w:rsidRDefault="5C73ABFE" w14:paraId="61B000FF" w14:textId="7AFDF80E">
            <w:pPr>
              <w:jc w:val="both"/>
              <w:rPr>
                <w:rFonts w:eastAsiaTheme="minorEastAsia"/>
                <w:sz w:val="22"/>
                <w:szCs w:val="22"/>
              </w:rPr>
            </w:pPr>
            <w:r w:rsidRPr="5C73ABFE">
              <w:rPr>
                <w:rFonts w:eastAsiaTheme="minorEastAsia"/>
                <w:sz w:val="22"/>
                <w:szCs w:val="22"/>
              </w:rPr>
              <w:t>17</w:t>
            </w:r>
          </w:p>
        </w:tc>
        <w:tc>
          <w:tcPr>
            <w:tcW w:w="1650" w:type="dxa"/>
            <w:tcMar/>
          </w:tcPr>
          <w:p w:rsidRPr="007D0458" w:rsidR="007D0A35" w:rsidP="26127E42" w:rsidRDefault="5D45043D" w14:paraId="38231E6A" w14:textId="4768E8E2">
            <w:pPr>
              <w:jc w:val="both"/>
              <w:rPr>
                <w:rFonts w:eastAsiaTheme="minorEastAsia"/>
                <w:b/>
                <w:bCs/>
                <w:sz w:val="22"/>
                <w:szCs w:val="22"/>
              </w:rPr>
            </w:pPr>
            <w:r w:rsidRPr="5D45043D">
              <w:rPr>
                <w:rFonts w:eastAsiaTheme="minorEastAsia"/>
                <w:b/>
                <w:bCs/>
                <w:sz w:val="22"/>
                <w:szCs w:val="22"/>
              </w:rPr>
              <w:t>Aesthetics</w:t>
            </w:r>
          </w:p>
        </w:tc>
        <w:tc>
          <w:tcPr>
            <w:tcW w:w="8340" w:type="dxa"/>
            <w:tcMar/>
          </w:tcPr>
          <w:p w:rsidR="007D0A35" w:rsidP="5D45043D" w:rsidRDefault="544004F7" w14:paraId="365291F0" w14:textId="00FD7532">
            <w:pPr>
              <w:jc w:val="left"/>
            </w:pPr>
            <w:r>
              <w:t>Each owner is responsible for keeping his/her unit in a proper state of preservation and cleanliness.</w:t>
            </w:r>
          </w:p>
        </w:tc>
      </w:tr>
      <w:tr w:rsidR="003E334C" w:rsidTr="39509CD7" w14:paraId="591860E3" w14:textId="77777777">
        <w:trPr>
          <w:trHeight w:val="300"/>
        </w:trPr>
        <w:tc>
          <w:tcPr>
            <w:tcW w:w="600" w:type="dxa"/>
            <w:tcMar/>
          </w:tcPr>
          <w:p w:rsidR="007D0A35" w:rsidP="5C73ABFE" w:rsidRDefault="5C73ABFE" w14:paraId="05BC23B4" w14:textId="3FB2BF78">
            <w:pPr>
              <w:jc w:val="both"/>
              <w:rPr>
                <w:rFonts w:eastAsiaTheme="minorEastAsia"/>
                <w:sz w:val="22"/>
                <w:szCs w:val="22"/>
              </w:rPr>
            </w:pPr>
            <w:r w:rsidRPr="5C73ABFE">
              <w:rPr>
                <w:rFonts w:eastAsiaTheme="minorEastAsia"/>
                <w:sz w:val="22"/>
                <w:szCs w:val="22"/>
              </w:rPr>
              <w:t>18</w:t>
            </w:r>
          </w:p>
        </w:tc>
        <w:tc>
          <w:tcPr>
            <w:tcW w:w="1650" w:type="dxa"/>
            <w:tcMar/>
          </w:tcPr>
          <w:p w:rsidRPr="007D0458" w:rsidR="007D0A35" w:rsidP="26127E42" w:rsidRDefault="5D45043D" w14:paraId="1DB252EF" w14:textId="3A6E1CD8">
            <w:pPr>
              <w:jc w:val="both"/>
              <w:rPr>
                <w:rFonts w:eastAsiaTheme="minorEastAsia"/>
                <w:b/>
                <w:bCs/>
                <w:sz w:val="22"/>
                <w:szCs w:val="22"/>
              </w:rPr>
            </w:pPr>
            <w:r w:rsidRPr="5D45043D">
              <w:rPr>
                <w:rFonts w:eastAsiaTheme="minorEastAsia"/>
                <w:b/>
                <w:bCs/>
                <w:sz w:val="22"/>
                <w:szCs w:val="22"/>
              </w:rPr>
              <w:t>Aesthetics</w:t>
            </w:r>
          </w:p>
        </w:tc>
        <w:tc>
          <w:tcPr>
            <w:tcW w:w="8340" w:type="dxa"/>
            <w:tcMar/>
          </w:tcPr>
          <w:p w:rsidR="007D0A35" w:rsidP="5D45043D" w:rsidRDefault="5DBED645" w14:paraId="5D246A8C" w14:textId="470DCFA6">
            <w:pPr>
              <w:jc w:val="left"/>
            </w:pPr>
            <w:r>
              <w:t>All waste must be properly placed in dumpsters.  Boxes must be broken down before placing in dumpster and nothing left outside the dumpster area</w:t>
            </w:r>
          </w:p>
        </w:tc>
      </w:tr>
      <w:tr w:rsidR="003E334C" w:rsidTr="39509CD7" w14:paraId="25678605" w14:textId="77777777">
        <w:trPr>
          <w:trHeight w:val="300"/>
        </w:trPr>
        <w:tc>
          <w:tcPr>
            <w:tcW w:w="600" w:type="dxa"/>
            <w:tcMar/>
          </w:tcPr>
          <w:p w:rsidR="007D0A35" w:rsidP="5C73ABFE" w:rsidRDefault="5C73ABFE" w14:paraId="1749D11D" w14:textId="29F0145D">
            <w:pPr>
              <w:jc w:val="both"/>
              <w:rPr>
                <w:rFonts w:eastAsiaTheme="minorEastAsia"/>
                <w:sz w:val="22"/>
                <w:szCs w:val="22"/>
              </w:rPr>
            </w:pPr>
            <w:r w:rsidRPr="5C73ABFE">
              <w:rPr>
                <w:rFonts w:eastAsiaTheme="minorEastAsia"/>
                <w:sz w:val="22"/>
                <w:szCs w:val="22"/>
              </w:rPr>
              <w:t>19</w:t>
            </w:r>
          </w:p>
        </w:tc>
        <w:tc>
          <w:tcPr>
            <w:tcW w:w="1650" w:type="dxa"/>
            <w:tcMar/>
          </w:tcPr>
          <w:p w:rsidRPr="007D0458" w:rsidR="007D0A35" w:rsidP="26127E42" w:rsidRDefault="5D45043D" w14:paraId="05E8078D" w14:textId="719DEB11">
            <w:pPr>
              <w:jc w:val="both"/>
              <w:rPr>
                <w:rFonts w:eastAsiaTheme="minorEastAsia"/>
                <w:b/>
                <w:bCs/>
                <w:sz w:val="22"/>
                <w:szCs w:val="22"/>
              </w:rPr>
            </w:pPr>
            <w:r w:rsidRPr="5D45043D">
              <w:rPr>
                <w:rFonts w:eastAsiaTheme="minorEastAsia"/>
                <w:b/>
                <w:bCs/>
                <w:sz w:val="22"/>
                <w:szCs w:val="22"/>
              </w:rPr>
              <w:t>Aesthetics</w:t>
            </w:r>
          </w:p>
        </w:tc>
        <w:tc>
          <w:tcPr>
            <w:tcW w:w="8340" w:type="dxa"/>
            <w:tcMar/>
          </w:tcPr>
          <w:p w:rsidR="007D0A35" w:rsidP="5D45043D" w:rsidRDefault="5D45043D" w14:paraId="317660AC" w14:textId="3FF0A25B">
            <w:pPr>
              <w:jc w:val="left"/>
            </w:pPr>
            <w:r>
              <w:t xml:space="preserve">Residents may not plant vegetation in the ground in common areas including gravel areas next to driveways.  Potted plants may be displayed but must be properly maintained.  Additionally, nothing may be placed on grass due to obstructing landscaper’s mowing. </w:t>
            </w:r>
          </w:p>
        </w:tc>
      </w:tr>
      <w:tr w:rsidR="03D3BE9D" w:rsidTr="39509CD7" w14:paraId="06F13647" w14:textId="77777777">
        <w:trPr>
          <w:trHeight w:val="300"/>
        </w:trPr>
        <w:tc>
          <w:tcPr>
            <w:tcW w:w="600" w:type="dxa"/>
            <w:tcMar/>
          </w:tcPr>
          <w:p w:rsidR="03D3BE9D" w:rsidP="03D3BE9D" w:rsidRDefault="03D3BE9D" w14:paraId="2DEFAB6C" w14:textId="68C1617A">
            <w:pPr>
              <w:jc w:val="both"/>
              <w:rPr>
                <w:rFonts w:eastAsiaTheme="minorEastAsia"/>
                <w:sz w:val="22"/>
                <w:szCs w:val="22"/>
              </w:rPr>
            </w:pPr>
            <w:r w:rsidRPr="03D3BE9D">
              <w:rPr>
                <w:rFonts w:eastAsiaTheme="minorEastAsia"/>
                <w:sz w:val="22"/>
                <w:szCs w:val="22"/>
              </w:rPr>
              <w:t>19</w:t>
            </w:r>
          </w:p>
        </w:tc>
        <w:tc>
          <w:tcPr>
            <w:tcW w:w="1650" w:type="dxa"/>
            <w:tcMar/>
          </w:tcPr>
          <w:p w:rsidR="03D3BE9D" w:rsidP="03D3BE9D" w:rsidRDefault="03D3BE9D" w14:paraId="7C8A15AB" w14:textId="719DEB11">
            <w:pPr>
              <w:jc w:val="both"/>
              <w:rPr>
                <w:rFonts w:eastAsiaTheme="minorEastAsia"/>
                <w:b/>
                <w:bCs/>
                <w:sz w:val="22"/>
                <w:szCs w:val="22"/>
              </w:rPr>
            </w:pPr>
            <w:r w:rsidRPr="03D3BE9D">
              <w:rPr>
                <w:rFonts w:eastAsiaTheme="minorEastAsia"/>
                <w:b/>
                <w:bCs/>
                <w:sz w:val="22"/>
                <w:szCs w:val="22"/>
              </w:rPr>
              <w:t>Aesthetics</w:t>
            </w:r>
          </w:p>
          <w:p w:rsidR="03D3BE9D" w:rsidP="544004F7" w:rsidRDefault="544004F7" w14:paraId="2453B0F3" w14:textId="4428DC1B">
            <w:pPr>
              <w:jc w:val="both"/>
              <w:rPr>
                <w:rFonts w:eastAsiaTheme="minorEastAsia"/>
                <w:b/>
                <w:bCs/>
                <w:sz w:val="22"/>
                <w:szCs w:val="22"/>
              </w:rPr>
            </w:pPr>
            <w:r w:rsidRPr="544004F7">
              <w:rPr>
                <w:rFonts w:eastAsiaTheme="minorEastAsia"/>
                <w:i/>
                <w:iCs/>
                <w:sz w:val="22"/>
                <w:szCs w:val="22"/>
              </w:rPr>
              <w:t>umbrellas</w:t>
            </w:r>
          </w:p>
        </w:tc>
        <w:tc>
          <w:tcPr>
            <w:tcW w:w="8340" w:type="dxa"/>
            <w:tcMar/>
          </w:tcPr>
          <w:p w:rsidR="03D3BE9D" w:rsidP="03D3BE9D" w:rsidRDefault="5C73ABFE" w14:paraId="6D6A0186" w14:textId="43D77333">
            <w:pPr>
              <w:jc w:val="left"/>
            </w:pPr>
            <w:r>
              <w:t xml:space="preserve">Umbrellas are permitted on unit balconies provided they are properly maintained with no rips, tears, or fading. </w:t>
            </w:r>
          </w:p>
        </w:tc>
      </w:tr>
      <w:tr w:rsidR="26127E42" w:rsidTr="39509CD7" w14:paraId="0CA04F47" w14:textId="77777777">
        <w:trPr>
          <w:trHeight w:val="300"/>
        </w:trPr>
        <w:tc>
          <w:tcPr>
            <w:tcW w:w="600" w:type="dxa"/>
            <w:tcMar/>
          </w:tcPr>
          <w:p w:rsidRPr="005406FC" w:rsidR="26127E42" w:rsidP="26127E42" w:rsidRDefault="03D3BE9D" w14:paraId="5C21D8D0" w14:textId="0C70122B">
            <w:pPr>
              <w:jc w:val="both"/>
              <w:rPr>
                <w:rFonts w:eastAsiaTheme="minorEastAsia"/>
                <w:sz w:val="22"/>
                <w:szCs w:val="22"/>
              </w:rPr>
            </w:pPr>
            <w:r w:rsidRPr="03D3BE9D">
              <w:rPr>
                <w:rFonts w:eastAsiaTheme="minorEastAsia"/>
                <w:sz w:val="22"/>
                <w:szCs w:val="22"/>
              </w:rPr>
              <w:t>20</w:t>
            </w:r>
          </w:p>
        </w:tc>
        <w:tc>
          <w:tcPr>
            <w:tcW w:w="1650" w:type="dxa"/>
            <w:tcMar/>
          </w:tcPr>
          <w:p w:rsidR="26127E42" w:rsidP="26127E42" w:rsidRDefault="5D45043D" w14:paraId="11712693" w14:textId="719DEB11">
            <w:pPr>
              <w:jc w:val="both"/>
              <w:rPr>
                <w:rFonts w:eastAsiaTheme="minorEastAsia"/>
                <w:b/>
                <w:bCs/>
                <w:sz w:val="22"/>
                <w:szCs w:val="22"/>
              </w:rPr>
            </w:pPr>
            <w:r w:rsidRPr="5D45043D">
              <w:rPr>
                <w:rFonts w:eastAsiaTheme="minorEastAsia"/>
                <w:b/>
                <w:bCs/>
                <w:sz w:val="22"/>
                <w:szCs w:val="22"/>
              </w:rPr>
              <w:t>Aesthetics</w:t>
            </w:r>
          </w:p>
          <w:p w:rsidR="26127E42" w:rsidP="544004F7" w:rsidRDefault="544004F7" w14:paraId="702920D5" w14:textId="104D5325">
            <w:pPr>
              <w:jc w:val="both"/>
              <w:rPr>
                <w:rFonts w:eastAsiaTheme="minorEastAsia"/>
                <w:b/>
                <w:bCs/>
                <w:sz w:val="22"/>
                <w:szCs w:val="22"/>
              </w:rPr>
            </w:pPr>
            <w:r w:rsidRPr="544004F7">
              <w:rPr>
                <w:rFonts w:eastAsiaTheme="minorEastAsia"/>
                <w:i/>
                <w:iCs/>
                <w:sz w:val="22"/>
                <w:szCs w:val="22"/>
              </w:rPr>
              <w:t>flags</w:t>
            </w:r>
          </w:p>
        </w:tc>
        <w:tc>
          <w:tcPr>
            <w:tcW w:w="8340" w:type="dxa"/>
            <w:tcMar/>
          </w:tcPr>
          <w:p w:rsidR="26127E42" w:rsidP="5D45043D" w:rsidRDefault="35D2FA9D" w14:paraId="29F213C0" w14:textId="12E24873">
            <w:pPr>
              <w:jc w:val="left"/>
            </w:pPr>
            <w:r>
              <w:t xml:space="preserve">Per the American Flag Act of 2005 (H.R. 42), a homeowner may display the American Flag.  “Game Day” and seasonal flags are permissible.  Political flags are </w:t>
            </w:r>
            <w:r w:rsidRPr="35D2FA9D">
              <w:rPr>
                <w:u w:val="single"/>
              </w:rPr>
              <w:t>not</w:t>
            </w:r>
            <w:r>
              <w:t xml:space="preserve"> permissible.  </w:t>
            </w:r>
          </w:p>
          <w:p w:rsidR="26127E42" w:rsidP="5D45043D" w:rsidRDefault="35D2FA9D" w14:paraId="324C92AA" w14:textId="0209D27B">
            <w:pPr>
              <w:jc w:val="left"/>
            </w:pPr>
            <w:r>
              <w:t>Each unit may have</w:t>
            </w:r>
            <w:r w:rsidRPr="35D2FA9D">
              <w:rPr>
                <w:u w:val="single"/>
              </w:rPr>
              <w:t xml:space="preserve"> only one flag </w:t>
            </w:r>
            <w:r>
              <w:t>on display at any one time.</w:t>
            </w:r>
          </w:p>
        </w:tc>
      </w:tr>
      <w:tr w:rsidR="006D5582" w:rsidTr="39509CD7" w14:paraId="40AD676D" w14:textId="77777777">
        <w:trPr>
          <w:trHeight w:val="302"/>
        </w:trPr>
        <w:tc>
          <w:tcPr>
            <w:tcW w:w="600" w:type="dxa"/>
            <w:tcMar/>
          </w:tcPr>
          <w:p w:rsidRPr="03D3BE9D" w:rsidR="006D5582" w:rsidP="26127E42" w:rsidRDefault="006D5582" w14:paraId="1E106BCD" w14:textId="70164A07">
            <w:pPr>
              <w:jc w:val="both"/>
              <w:rPr>
                <w:rFonts w:eastAsiaTheme="minorEastAsia"/>
                <w:sz w:val="22"/>
                <w:szCs w:val="22"/>
              </w:rPr>
            </w:pPr>
            <w:r>
              <w:rPr>
                <w:rFonts w:eastAsiaTheme="minorEastAsia"/>
                <w:sz w:val="22"/>
                <w:szCs w:val="22"/>
              </w:rPr>
              <w:t>21</w:t>
            </w:r>
          </w:p>
        </w:tc>
        <w:tc>
          <w:tcPr>
            <w:tcW w:w="1650" w:type="dxa"/>
            <w:tcMar/>
          </w:tcPr>
          <w:p w:rsidR="006D5582" w:rsidP="26127E42" w:rsidRDefault="006D5582" w14:paraId="79F37EAC" w14:textId="77777777">
            <w:pPr>
              <w:jc w:val="both"/>
              <w:rPr>
                <w:rFonts w:eastAsiaTheme="minorEastAsia"/>
                <w:b/>
                <w:bCs/>
                <w:sz w:val="22"/>
                <w:szCs w:val="22"/>
              </w:rPr>
            </w:pPr>
            <w:r>
              <w:rPr>
                <w:rFonts w:eastAsiaTheme="minorEastAsia"/>
                <w:b/>
                <w:bCs/>
                <w:sz w:val="22"/>
                <w:szCs w:val="22"/>
              </w:rPr>
              <w:t>Modification</w:t>
            </w:r>
          </w:p>
          <w:p w:rsidR="006D5582" w:rsidP="26127E42" w:rsidRDefault="000554F1" w14:paraId="7FE1F955" w14:textId="77777777">
            <w:pPr>
              <w:jc w:val="both"/>
              <w:rPr>
                <w:rFonts w:eastAsiaTheme="minorEastAsia"/>
                <w:i/>
                <w:iCs/>
                <w:sz w:val="22"/>
                <w:szCs w:val="22"/>
              </w:rPr>
            </w:pPr>
            <w:r w:rsidRPr="30175150" w:rsidR="000554F1">
              <w:rPr>
                <w:rFonts w:eastAsia="游明朝" w:eastAsiaTheme="minorEastAsia"/>
                <w:i w:val="1"/>
                <w:iCs w:val="1"/>
                <w:sz w:val="22"/>
                <w:szCs w:val="22"/>
              </w:rPr>
              <w:t>Realtor</w:t>
            </w:r>
          </w:p>
          <w:p w:rsidRPr="006D5582" w:rsidR="000554F1" w:rsidP="30175150" w:rsidRDefault="000554F1" w14:paraId="77046326" w14:textId="3D6BC032">
            <w:pPr>
              <w:pStyle w:val="Normal"/>
              <w:suppressLineNumbers w:val="0"/>
              <w:bidi w:val="0"/>
              <w:spacing w:before="0" w:beforeAutospacing="off" w:after="0" w:afterAutospacing="off" w:line="240" w:lineRule="auto"/>
              <w:ind w:left="0" w:right="0"/>
              <w:jc w:val="both"/>
            </w:pPr>
            <w:r w:rsidRPr="30175150" w:rsidR="597EBF38">
              <w:rPr>
                <w:rFonts w:eastAsia="游明朝" w:eastAsiaTheme="minorEastAsia"/>
                <w:i w:val="1"/>
                <w:iCs w:val="1"/>
                <w:sz w:val="22"/>
                <w:szCs w:val="22"/>
              </w:rPr>
              <w:t>Signs</w:t>
            </w:r>
          </w:p>
        </w:tc>
        <w:tc>
          <w:tcPr>
            <w:tcW w:w="8340" w:type="dxa"/>
            <w:tcMar/>
          </w:tcPr>
          <w:p w:rsidRPr="001F0067" w:rsidR="006D5582" w:rsidP="39509CD7" w:rsidRDefault="000554F1" w14:paraId="7E5C942C" w14:textId="6DC43484">
            <w:pPr>
              <w:pStyle w:val="Normal"/>
              <w:spacing w:before="120" w:beforeAutospacing="off" w:after="120" w:afterAutospacing="off"/>
              <w:jc w:val="left"/>
              <w:rPr>
                <w:rFonts w:ascii="Aptos" w:hAnsi="Aptos" w:eastAsia="Aptos" w:cs="Aptos"/>
                <w:noProof w:val="0"/>
                <w:sz w:val="24"/>
                <w:szCs w:val="24"/>
                <w:lang w:val="en-US"/>
              </w:rPr>
            </w:pPr>
            <w:r w:rsidRPr="39509CD7" w:rsidR="3C690C35">
              <w:rPr>
                <w:rFonts w:ascii="Aptos" w:hAnsi="Aptos" w:eastAsia="Aptos" w:cs="Aptos"/>
                <w:noProof w:val="0"/>
                <w:sz w:val="24"/>
                <w:szCs w:val="24"/>
                <w:lang w:val="en-US"/>
              </w:rPr>
              <w:t xml:space="preserve">Each Unit listed for sale or lease may display </w:t>
            </w:r>
            <w:r w:rsidRPr="39509CD7" w:rsidR="3C690C35">
              <w:rPr>
                <w:rFonts w:ascii="Aptos" w:hAnsi="Aptos" w:eastAsia="Aptos" w:cs="Aptos"/>
                <w:b w:val="1"/>
                <w:bCs w:val="1"/>
                <w:noProof w:val="0"/>
                <w:sz w:val="24"/>
                <w:szCs w:val="24"/>
                <w:lang w:val="en-US"/>
              </w:rPr>
              <w:t>one (1) real estate sign</w:t>
            </w:r>
            <w:r w:rsidRPr="39509CD7" w:rsidR="3C690C35">
              <w:rPr>
                <w:rFonts w:ascii="Aptos" w:hAnsi="Aptos" w:eastAsia="Aptos" w:cs="Aptos"/>
                <w:noProof w:val="0"/>
                <w:sz w:val="24"/>
                <w:szCs w:val="24"/>
                <w:lang w:val="en-US"/>
              </w:rPr>
              <w:t xml:space="preserve"> from the </w:t>
            </w:r>
            <w:r w:rsidRPr="39509CD7" w:rsidR="3C690C35">
              <w:rPr>
                <w:rFonts w:ascii="Aptos" w:hAnsi="Aptos" w:eastAsia="Aptos" w:cs="Aptos"/>
                <w:b w:val="1"/>
                <w:bCs w:val="1"/>
                <w:noProof w:val="0"/>
                <w:sz w:val="24"/>
                <w:szCs w:val="24"/>
                <w:lang w:val="en-US"/>
              </w:rPr>
              <w:t>inside of a window or sliding glass door</w:t>
            </w:r>
            <w:r w:rsidRPr="39509CD7" w:rsidR="3C690C35">
              <w:rPr>
                <w:rFonts w:ascii="Aptos" w:hAnsi="Aptos" w:eastAsia="Aptos" w:cs="Aptos"/>
                <w:noProof w:val="0"/>
                <w:sz w:val="24"/>
                <w:szCs w:val="24"/>
                <w:lang w:val="en-US"/>
              </w:rPr>
              <w:t xml:space="preserve"> of the Unit, not to exceed </w:t>
            </w:r>
            <w:r w:rsidRPr="39509CD7" w:rsidR="3C690C35">
              <w:rPr>
                <w:rFonts w:ascii="Aptos" w:hAnsi="Aptos" w:eastAsia="Aptos" w:cs="Aptos"/>
                <w:b w:val="1"/>
                <w:bCs w:val="1"/>
                <w:noProof w:val="0"/>
                <w:sz w:val="24"/>
                <w:szCs w:val="24"/>
                <w:lang w:val="en-US"/>
              </w:rPr>
              <w:t>five (5) square feet in size</w:t>
            </w:r>
            <w:r w:rsidRPr="39509CD7" w:rsidR="3C690C35">
              <w:rPr>
                <w:rFonts w:ascii="Aptos" w:hAnsi="Aptos" w:eastAsia="Aptos" w:cs="Aptos"/>
                <w:noProof w:val="0"/>
                <w:sz w:val="24"/>
                <w:szCs w:val="24"/>
                <w:lang w:val="en-US"/>
              </w:rPr>
              <w:t xml:space="preserve">. Lease signs may only be displayed after the Board has approved the lease in accordance with the Declarations and Bylaws.   </w:t>
            </w:r>
            <w:r w:rsidRPr="39509CD7" w:rsidR="3C690C35">
              <w:rPr>
                <w:rFonts w:ascii="Aptos" w:hAnsi="Aptos" w:eastAsia="Aptos" w:cs="Aptos"/>
                <w:b w:val="1"/>
                <w:bCs w:val="1"/>
                <w:noProof w:val="0"/>
                <w:sz w:val="24"/>
                <w:szCs w:val="24"/>
                <w:lang w:val="en-US"/>
              </w:rPr>
              <w:t>Open house signs</w:t>
            </w:r>
            <w:r w:rsidRPr="39509CD7" w:rsidR="3C690C35">
              <w:rPr>
                <w:rFonts w:ascii="Aptos" w:hAnsi="Aptos" w:eastAsia="Aptos" w:cs="Aptos"/>
                <w:noProof w:val="0"/>
                <w:sz w:val="24"/>
                <w:szCs w:val="24"/>
                <w:lang w:val="en-US"/>
              </w:rPr>
              <w:t xml:space="preserve"> may be placed </w:t>
            </w:r>
            <w:r w:rsidRPr="39509CD7" w:rsidR="3C690C35">
              <w:rPr>
                <w:rFonts w:ascii="Aptos" w:hAnsi="Aptos" w:eastAsia="Aptos" w:cs="Aptos"/>
                <w:noProof w:val="0"/>
                <w:sz w:val="24"/>
                <w:szCs w:val="24"/>
                <w:lang w:val="en-US"/>
              </w:rPr>
              <w:t>in</w:t>
            </w:r>
            <w:r w:rsidRPr="39509CD7" w:rsidR="3C690C35">
              <w:rPr>
                <w:rFonts w:ascii="Aptos" w:hAnsi="Aptos" w:eastAsia="Aptos" w:cs="Aptos"/>
                <w:noProof w:val="0"/>
                <w:sz w:val="24"/>
                <w:szCs w:val="24"/>
                <w:lang w:val="en-US"/>
              </w:rPr>
              <w:t xml:space="preserve"> the ground only on the day of the </w:t>
            </w:r>
            <w:r w:rsidRPr="39509CD7" w:rsidR="3C690C35">
              <w:rPr>
                <w:rFonts w:ascii="Aptos" w:hAnsi="Aptos" w:eastAsia="Aptos" w:cs="Aptos"/>
                <w:noProof w:val="0"/>
                <w:sz w:val="24"/>
                <w:szCs w:val="24"/>
                <w:lang w:val="en-US"/>
              </w:rPr>
              <w:t>open house, during its</w:t>
            </w:r>
            <w:r w:rsidRPr="39509CD7" w:rsidR="3C690C35">
              <w:rPr>
                <w:rFonts w:ascii="Aptos" w:hAnsi="Aptos" w:eastAsia="Aptos" w:cs="Aptos"/>
                <w:noProof w:val="0"/>
                <w:sz w:val="24"/>
                <w:szCs w:val="24"/>
                <w:lang w:val="en-US"/>
              </w:rPr>
              <w:t xml:space="preserve"> hours, and must be removed </w:t>
            </w:r>
            <w:r w:rsidRPr="39509CD7" w:rsidR="3C690C35">
              <w:rPr>
                <w:rFonts w:ascii="Aptos" w:hAnsi="Aptos" w:eastAsia="Aptos" w:cs="Aptos"/>
                <w:noProof w:val="0"/>
                <w:sz w:val="24"/>
                <w:szCs w:val="24"/>
                <w:lang w:val="en-US"/>
              </w:rPr>
              <w:t>immediately</w:t>
            </w:r>
            <w:r w:rsidRPr="39509CD7" w:rsidR="3C690C35">
              <w:rPr>
                <w:rFonts w:ascii="Aptos" w:hAnsi="Aptos" w:eastAsia="Aptos" w:cs="Aptos"/>
                <w:noProof w:val="0"/>
                <w:sz w:val="24"/>
                <w:szCs w:val="24"/>
                <w:lang w:val="en-US"/>
              </w:rPr>
              <w:t xml:space="preserve"> afterward.  No other signs are </w:t>
            </w:r>
            <w:r w:rsidRPr="39509CD7" w:rsidR="3C690C35">
              <w:rPr>
                <w:rFonts w:ascii="Aptos" w:hAnsi="Aptos" w:eastAsia="Aptos" w:cs="Aptos"/>
                <w:noProof w:val="0"/>
                <w:sz w:val="24"/>
                <w:szCs w:val="24"/>
                <w:lang w:val="en-US"/>
              </w:rPr>
              <w:t>permitted</w:t>
            </w:r>
            <w:r w:rsidRPr="39509CD7" w:rsidR="3C690C35">
              <w:rPr>
                <w:rFonts w:ascii="Aptos" w:hAnsi="Aptos" w:eastAsia="Aptos" w:cs="Aptos"/>
                <w:noProof w:val="0"/>
                <w:sz w:val="24"/>
                <w:szCs w:val="24"/>
                <w:lang w:val="en-US"/>
              </w:rPr>
              <w:t>.</w:t>
            </w:r>
          </w:p>
        </w:tc>
      </w:tr>
      <w:tr w:rsidR="003E334C" w:rsidTr="39509CD7" w14:paraId="1C6C2259" w14:textId="77777777">
        <w:trPr>
          <w:trHeight w:val="300"/>
        </w:trPr>
        <w:tc>
          <w:tcPr>
            <w:tcW w:w="600" w:type="dxa"/>
            <w:tcMar/>
          </w:tcPr>
          <w:p w:rsidRPr="005406FC" w:rsidR="007D0A35" w:rsidP="72359E2C" w:rsidRDefault="72359E2C" w14:paraId="192EA75F" w14:textId="1C2C5B03">
            <w:pPr>
              <w:jc w:val="both"/>
              <w:rPr>
                <w:rFonts w:eastAsiaTheme="minorEastAsia"/>
                <w:sz w:val="22"/>
                <w:szCs w:val="22"/>
              </w:rPr>
            </w:pPr>
            <w:r w:rsidRPr="72359E2C">
              <w:rPr>
                <w:rFonts w:eastAsiaTheme="minorEastAsia"/>
                <w:sz w:val="22"/>
                <w:szCs w:val="22"/>
              </w:rPr>
              <w:t>2</w:t>
            </w:r>
            <w:r w:rsidR="00F12EE8">
              <w:rPr>
                <w:rFonts w:eastAsiaTheme="minorEastAsia"/>
                <w:sz w:val="22"/>
                <w:szCs w:val="22"/>
              </w:rPr>
              <w:t>2</w:t>
            </w:r>
          </w:p>
        </w:tc>
        <w:tc>
          <w:tcPr>
            <w:tcW w:w="1650" w:type="dxa"/>
            <w:tcMar/>
          </w:tcPr>
          <w:p w:rsidRPr="007D0458" w:rsidR="007D0A35" w:rsidP="544004F7" w:rsidRDefault="544004F7" w14:paraId="5BC3F650" w14:textId="78743517">
            <w:pPr>
              <w:jc w:val="both"/>
              <w:rPr>
                <w:rFonts w:eastAsiaTheme="minorEastAsia"/>
                <w:b/>
                <w:bCs/>
                <w:sz w:val="22"/>
                <w:szCs w:val="22"/>
              </w:rPr>
            </w:pPr>
            <w:r w:rsidRPr="544004F7">
              <w:rPr>
                <w:rFonts w:eastAsiaTheme="minorEastAsia"/>
                <w:b/>
                <w:bCs/>
                <w:sz w:val="22"/>
                <w:szCs w:val="22"/>
              </w:rPr>
              <w:t>Modification</w:t>
            </w:r>
          </w:p>
          <w:p w:rsidRPr="007D0458" w:rsidR="007D0A35" w:rsidP="544004F7" w:rsidRDefault="544004F7" w14:paraId="14D62582" w14:textId="05155F0F">
            <w:pPr>
              <w:jc w:val="both"/>
              <w:rPr>
                <w:rFonts w:eastAsiaTheme="minorEastAsia"/>
                <w:b/>
                <w:bCs/>
                <w:sz w:val="22"/>
                <w:szCs w:val="22"/>
              </w:rPr>
            </w:pPr>
            <w:r w:rsidRPr="544004F7">
              <w:rPr>
                <w:rFonts w:eastAsiaTheme="minorEastAsia"/>
                <w:i/>
                <w:iCs/>
                <w:sz w:val="22"/>
                <w:szCs w:val="22"/>
              </w:rPr>
              <w:t>Personal</w:t>
            </w:r>
          </w:p>
          <w:p w:rsidRPr="007D0458" w:rsidR="007D0A35" w:rsidP="544004F7" w:rsidRDefault="544004F7" w14:paraId="2DD7B943" w14:textId="294C8B14">
            <w:pPr>
              <w:jc w:val="both"/>
              <w:rPr>
                <w:rFonts w:eastAsiaTheme="minorEastAsia"/>
                <w:i/>
                <w:iCs/>
                <w:sz w:val="22"/>
                <w:szCs w:val="22"/>
              </w:rPr>
            </w:pPr>
            <w:r w:rsidRPr="544004F7">
              <w:rPr>
                <w:rFonts w:eastAsiaTheme="minorEastAsia"/>
                <w:i/>
                <w:iCs/>
                <w:sz w:val="22"/>
                <w:szCs w:val="22"/>
              </w:rPr>
              <w:t>business</w:t>
            </w:r>
          </w:p>
        </w:tc>
        <w:tc>
          <w:tcPr>
            <w:tcW w:w="8340" w:type="dxa"/>
            <w:tcMar/>
          </w:tcPr>
          <w:p w:rsidR="007D0A35" w:rsidP="30175150" w:rsidRDefault="5DBED645" w14:paraId="47EAF956" w14:textId="3C3759BB">
            <w:pPr>
              <w:jc w:val="left"/>
              <w:rPr>
                <w:rFonts w:eastAsia="游明朝" w:eastAsiaTheme="minorEastAsia"/>
              </w:rPr>
            </w:pPr>
            <w:r w:rsidRPr="30175150" w:rsidR="5DBED645">
              <w:rPr>
                <w:rFonts w:eastAsia="游明朝" w:eastAsiaTheme="minorEastAsia"/>
              </w:rPr>
              <w:t xml:space="preserve">SBVCOA prohibits privately </w:t>
            </w:r>
            <w:r w:rsidRPr="30175150" w:rsidR="09F6403C">
              <w:rPr>
                <w:rFonts w:eastAsia="游明朝" w:eastAsiaTheme="minorEastAsia"/>
              </w:rPr>
              <w:t>o</w:t>
            </w:r>
            <w:r w:rsidRPr="30175150" w:rsidR="5DBED645">
              <w:rPr>
                <w:rFonts w:eastAsia="游明朝" w:eastAsiaTheme="minorEastAsia"/>
              </w:rPr>
              <w:t xml:space="preserve">r personally owned business which calls for customer participation to be conducted within the owner’s unit and/or garage areas. </w:t>
            </w:r>
          </w:p>
        </w:tc>
      </w:tr>
      <w:tr w:rsidR="003E334C" w:rsidTr="39509CD7" w14:paraId="3201D93A" w14:textId="77777777">
        <w:trPr>
          <w:trHeight w:val="300"/>
        </w:trPr>
        <w:tc>
          <w:tcPr>
            <w:tcW w:w="600" w:type="dxa"/>
            <w:tcMar/>
          </w:tcPr>
          <w:p w:rsidRPr="005406FC" w:rsidR="007D0A35" w:rsidP="72359E2C" w:rsidRDefault="72359E2C" w14:paraId="7B6E7C75" w14:textId="23FAC207">
            <w:pPr>
              <w:jc w:val="both"/>
              <w:rPr>
                <w:rFonts w:eastAsiaTheme="minorEastAsia"/>
                <w:sz w:val="22"/>
                <w:szCs w:val="22"/>
              </w:rPr>
            </w:pPr>
            <w:r w:rsidRPr="72359E2C">
              <w:rPr>
                <w:rFonts w:eastAsiaTheme="minorEastAsia"/>
                <w:sz w:val="22"/>
                <w:szCs w:val="22"/>
              </w:rPr>
              <w:t>2</w:t>
            </w:r>
            <w:r w:rsidR="00F12EE8">
              <w:rPr>
                <w:rFonts w:eastAsiaTheme="minorEastAsia"/>
                <w:sz w:val="22"/>
                <w:szCs w:val="22"/>
              </w:rPr>
              <w:t>3</w:t>
            </w:r>
          </w:p>
        </w:tc>
        <w:tc>
          <w:tcPr>
            <w:tcW w:w="1650" w:type="dxa"/>
            <w:tcMar/>
          </w:tcPr>
          <w:p w:rsidRPr="007D0458" w:rsidR="007D0A35" w:rsidP="544004F7" w:rsidRDefault="544004F7" w14:paraId="65C58DC5" w14:textId="31F65BDB">
            <w:pPr>
              <w:jc w:val="both"/>
              <w:rPr>
                <w:rFonts w:eastAsiaTheme="minorEastAsia"/>
                <w:b/>
                <w:bCs/>
                <w:sz w:val="22"/>
                <w:szCs w:val="22"/>
              </w:rPr>
            </w:pPr>
            <w:r w:rsidRPr="544004F7">
              <w:rPr>
                <w:rFonts w:eastAsiaTheme="minorEastAsia"/>
                <w:b/>
                <w:bCs/>
                <w:sz w:val="22"/>
                <w:szCs w:val="22"/>
              </w:rPr>
              <w:t>Modification</w:t>
            </w:r>
          </w:p>
          <w:p w:rsidRPr="007D0458" w:rsidR="007D0A35" w:rsidP="544004F7" w:rsidRDefault="544004F7" w14:paraId="58A98352" w14:textId="2FDD7EA9">
            <w:pPr>
              <w:jc w:val="both"/>
              <w:rPr>
                <w:rFonts w:eastAsiaTheme="minorEastAsia"/>
                <w:b/>
                <w:bCs/>
                <w:sz w:val="22"/>
                <w:szCs w:val="22"/>
              </w:rPr>
            </w:pPr>
            <w:r w:rsidRPr="544004F7">
              <w:rPr>
                <w:rFonts w:eastAsiaTheme="minorEastAsia"/>
                <w:i/>
                <w:iCs/>
                <w:sz w:val="22"/>
                <w:szCs w:val="22"/>
              </w:rPr>
              <w:t>of approval</w:t>
            </w:r>
          </w:p>
        </w:tc>
        <w:tc>
          <w:tcPr>
            <w:tcW w:w="8340" w:type="dxa"/>
            <w:tcMar/>
          </w:tcPr>
          <w:p w:rsidRPr="005406FC" w:rsidR="007D0A35" w:rsidP="5C73ABFE" w:rsidRDefault="544004F7" w14:paraId="7A1FD380" w14:textId="416A802A">
            <w:pPr>
              <w:jc w:val="left"/>
              <w:rPr>
                <w:rFonts w:eastAsiaTheme="minorEastAsia"/>
                <w:sz w:val="22"/>
                <w:szCs w:val="22"/>
              </w:rPr>
            </w:pPr>
            <w:r>
              <w:t>Any consent or approval given under SBVCOA Rules and Regulations may be added to, amended, or repealed at any time per resolution of the Board.</w:t>
            </w:r>
          </w:p>
        </w:tc>
      </w:tr>
    </w:tbl>
    <w:p w:rsidR="44FF8E20" w:rsidRDefault="44FF8E20" w14:paraId="55EDE4C0" w14:textId="6DBE7858"/>
    <w:p w:rsidR="00B27B84" w:rsidP="00FE2456" w:rsidRDefault="00B27B84" w14:paraId="7867E349" w14:textId="77777777">
      <w:pPr>
        <w:jc w:val="both"/>
      </w:pPr>
    </w:p>
    <w:sectPr w:rsidR="00B27B84" w:rsidSect="00283096">
      <w:pgSz w:w="12240" w:h="15840" w:orient="portrait"/>
      <w:pgMar w:top="720" w:right="864" w:bottom="720" w:left="86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U" w:author="Guest User" w:date="2024-08-22T07:13:00Z" w:id="1">
    <w:p w:rsidR="44FF8E20" w:rsidRDefault="44FF8E20" w14:paraId="2D0820E8" w14:textId="2C5DD4E1">
      <w:r>
        <w:t>Is this hallways leading to doors to the units? But do we need to clarify?</w:t>
      </w:r>
      <w:r>
        <w:annotationRef/>
      </w:r>
    </w:p>
  </w:comment>
  <w:comment w:initials="JP" w:author="Julie T. Finley, PhD" w:date="2024-08-22T08:31:00Z" w:id="2">
    <w:p w:rsidR="44FF8E20" w:rsidRDefault="44FF8E20" w14:paraId="441CB39D" w14:textId="7465B7C8">
      <w:r>
        <w:t>also in buildings where small hall leads to elevcators</w:t>
      </w:r>
      <w:r>
        <w:annotationRef/>
      </w:r>
    </w:p>
  </w:comment>
  <w:comment w:initials="GU" w:author="Guest User" w:date="2024-08-23T07:46:00Z" w:id="3">
    <w:p w:rsidR="38C77650" w:rsidRDefault="38C77650" w14:paraId="5A457D5A" w14:textId="604C2015">
      <w:r>
        <w:t>I've took this to mean the common access ways such as in buildings 10, 15,   Most buildings don't have such places.    Landis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0820E8" w15:done="1"/>
  <w15:commentEx w15:paraId="441CB39D" w15:paraIdParent="2D0820E8" w15:done="1"/>
  <w15:commentEx w15:paraId="5A457D5A" w15:paraIdParent="2D0820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047D2" w16cex:dateUtc="2024-08-22T12:13:00Z"/>
  <w16cex:commentExtensible w16cex:durableId="540BCF55" w16cex:dateUtc="2024-08-22T13:31:00Z"/>
  <w16cex:commentExtensible w16cex:durableId="306E366D" w16cex:dateUtc="2024-08-23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0820E8" w16cid:durableId="713047D2"/>
  <w16cid:commentId w16cid:paraId="441CB39D" w16cid:durableId="540BCF55"/>
  <w16cid:commentId w16cid:paraId="5A457D5A" w16cid:durableId="306E36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http://schemas.openxmlformats.org/wordprocessingml/2006/main">
  <w:abstractNum xmlns:w="http://schemas.openxmlformats.org/wordprocessingml/2006/main" w:abstractNumId="2">
    <w:nsid w:val="74cf15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4c3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T. Finley, PhD">
    <w15:presenceInfo w15:providerId="Windows Live" w15:userId="fe6af44bddef7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8E"/>
    <w:rsid w:val="00027D6A"/>
    <w:rsid w:val="000554F1"/>
    <w:rsid w:val="00056953"/>
    <w:rsid w:val="000617AB"/>
    <w:rsid w:val="000658BE"/>
    <w:rsid w:val="0007503A"/>
    <w:rsid w:val="00094530"/>
    <w:rsid w:val="000F30F0"/>
    <w:rsid w:val="000F451C"/>
    <w:rsid w:val="00102D69"/>
    <w:rsid w:val="001055F8"/>
    <w:rsid w:val="0013236B"/>
    <w:rsid w:val="00132CAD"/>
    <w:rsid w:val="001805D7"/>
    <w:rsid w:val="00182670"/>
    <w:rsid w:val="00184824"/>
    <w:rsid w:val="00192747"/>
    <w:rsid w:val="001A0F8C"/>
    <w:rsid w:val="001B07AC"/>
    <w:rsid w:val="001C19EE"/>
    <w:rsid w:val="001C7C40"/>
    <w:rsid w:val="001D79F8"/>
    <w:rsid w:val="001E2E79"/>
    <w:rsid w:val="001E5DD6"/>
    <w:rsid w:val="001E697D"/>
    <w:rsid w:val="001F0067"/>
    <w:rsid w:val="002143FF"/>
    <w:rsid w:val="002477EA"/>
    <w:rsid w:val="00260B5C"/>
    <w:rsid w:val="00262C85"/>
    <w:rsid w:val="002817F9"/>
    <w:rsid w:val="00283096"/>
    <w:rsid w:val="00291476"/>
    <w:rsid w:val="00292B3A"/>
    <w:rsid w:val="00293BAE"/>
    <w:rsid w:val="002A11E7"/>
    <w:rsid w:val="002B4D4A"/>
    <w:rsid w:val="002B586D"/>
    <w:rsid w:val="002B6929"/>
    <w:rsid w:val="002C07A1"/>
    <w:rsid w:val="00310356"/>
    <w:rsid w:val="00331C4E"/>
    <w:rsid w:val="00341CAD"/>
    <w:rsid w:val="003734B7"/>
    <w:rsid w:val="00374296"/>
    <w:rsid w:val="003746FC"/>
    <w:rsid w:val="00395F41"/>
    <w:rsid w:val="003A1212"/>
    <w:rsid w:val="003C03A4"/>
    <w:rsid w:val="003C69E7"/>
    <w:rsid w:val="003D4F3E"/>
    <w:rsid w:val="003D5483"/>
    <w:rsid w:val="003E2C70"/>
    <w:rsid w:val="003E334C"/>
    <w:rsid w:val="00413560"/>
    <w:rsid w:val="00417813"/>
    <w:rsid w:val="0045520B"/>
    <w:rsid w:val="00466508"/>
    <w:rsid w:val="00466B8F"/>
    <w:rsid w:val="0047261B"/>
    <w:rsid w:val="00483DC8"/>
    <w:rsid w:val="00490AAD"/>
    <w:rsid w:val="0049468C"/>
    <w:rsid w:val="004B339C"/>
    <w:rsid w:val="004D0AD7"/>
    <w:rsid w:val="004D2ED4"/>
    <w:rsid w:val="005319CB"/>
    <w:rsid w:val="00534856"/>
    <w:rsid w:val="00535C3D"/>
    <w:rsid w:val="005406FC"/>
    <w:rsid w:val="00563778"/>
    <w:rsid w:val="00581966"/>
    <w:rsid w:val="005A0651"/>
    <w:rsid w:val="005A16EC"/>
    <w:rsid w:val="005E21D7"/>
    <w:rsid w:val="00606538"/>
    <w:rsid w:val="00614C12"/>
    <w:rsid w:val="0061742D"/>
    <w:rsid w:val="00617AA9"/>
    <w:rsid w:val="00630ED8"/>
    <w:rsid w:val="00640789"/>
    <w:rsid w:val="00673BB9"/>
    <w:rsid w:val="00680CC6"/>
    <w:rsid w:val="0068569B"/>
    <w:rsid w:val="006B5C8C"/>
    <w:rsid w:val="006D5582"/>
    <w:rsid w:val="006F223F"/>
    <w:rsid w:val="0070357C"/>
    <w:rsid w:val="00713656"/>
    <w:rsid w:val="00713DB6"/>
    <w:rsid w:val="007177D7"/>
    <w:rsid w:val="007326F5"/>
    <w:rsid w:val="00757904"/>
    <w:rsid w:val="00761BE8"/>
    <w:rsid w:val="007755B5"/>
    <w:rsid w:val="00787016"/>
    <w:rsid w:val="007C2559"/>
    <w:rsid w:val="007D0458"/>
    <w:rsid w:val="007D0A35"/>
    <w:rsid w:val="007D41CC"/>
    <w:rsid w:val="007D63EE"/>
    <w:rsid w:val="00802497"/>
    <w:rsid w:val="008044DD"/>
    <w:rsid w:val="00824BC2"/>
    <w:rsid w:val="00833CDB"/>
    <w:rsid w:val="00863BFA"/>
    <w:rsid w:val="008804E1"/>
    <w:rsid w:val="008A390B"/>
    <w:rsid w:val="008B0363"/>
    <w:rsid w:val="008E6FD2"/>
    <w:rsid w:val="00941549"/>
    <w:rsid w:val="00956039"/>
    <w:rsid w:val="00961526"/>
    <w:rsid w:val="00981611"/>
    <w:rsid w:val="009E6CAB"/>
    <w:rsid w:val="00A116DC"/>
    <w:rsid w:val="00A17776"/>
    <w:rsid w:val="00A61505"/>
    <w:rsid w:val="00AA774D"/>
    <w:rsid w:val="00AB23EB"/>
    <w:rsid w:val="00AB762B"/>
    <w:rsid w:val="00AC38E9"/>
    <w:rsid w:val="00AC7ACD"/>
    <w:rsid w:val="00AE1AE2"/>
    <w:rsid w:val="00AF0DCD"/>
    <w:rsid w:val="00AF13AB"/>
    <w:rsid w:val="00AF65D9"/>
    <w:rsid w:val="00B078C5"/>
    <w:rsid w:val="00B27B84"/>
    <w:rsid w:val="00B82523"/>
    <w:rsid w:val="00B837CA"/>
    <w:rsid w:val="00B94C81"/>
    <w:rsid w:val="00BB5D51"/>
    <w:rsid w:val="00BB7A61"/>
    <w:rsid w:val="00BC2854"/>
    <w:rsid w:val="00BD0B69"/>
    <w:rsid w:val="00BF3F69"/>
    <w:rsid w:val="00BF4668"/>
    <w:rsid w:val="00C000B4"/>
    <w:rsid w:val="00C02D25"/>
    <w:rsid w:val="00C1530C"/>
    <w:rsid w:val="00C27763"/>
    <w:rsid w:val="00C4056E"/>
    <w:rsid w:val="00C53242"/>
    <w:rsid w:val="00C674EE"/>
    <w:rsid w:val="00C67978"/>
    <w:rsid w:val="00C94A4B"/>
    <w:rsid w:val="00CB0D6D"/>
    <w:rsid w:val="00CF7C92"/>
    <w:rsid w:val="00D24ADF"/>
    <w:rsid w:val="00D55BFB"/>
    <w:rsid w:val="00D64320"/>
    <w:rsid w:val="00D6638F"/>
    <w:rsid w:val="00D729A0"/>
    <w:rsid w:val="00D769D4"/>
    <w:rsid w:val="00D90495"/>
    <w:rsid w:val="00D95B09"/>
    <w:rsid w:val="00DA0827"/>
    <w:rsid w:val="00DC4D65"/>
    <w:rsid w:val="00DD3664"/>
    <w:rsid w:val="00DD5E56"/>
    <w:rsid w:val="00DE6B8B"/>
    <w:rsid w:val="00DE72F4"/>
    <w:rsid w:val="00DF0EA5"/>
    <w:rsid w:val="00DF37C2"/>
    <w:rsid w:val="00DF5D27"/>
    <w:rsid w:val="00E0028E"/>
    <w:rsid w:val="00E03BB2"/>
    <w:rsid w:val="00E06133"/>
    <w:rsid w:val="00E30DD3"/>
    <w:rsid w:val="00E375CB"/>
    <w:rsid w:val="00E5418D"/>
    <w:rsid w:val="00E57F3A"/>
    <w:rsid w:val="00E57FEC"/>
    <w:rsid w:val="00E768BA"/>
    <w:rsid w:val="00E82396"/>
    <w:rsid w:val="00E973A5"/>
    <w:rsid w:val="00EA23DA"/>
    <w:rsid w:val="00EB6A62"/>
    <w:rsid w:val="00EB7235"/>
    <w:rsid w:val="00EC011A"/>
    <w:rsid w:val="00ED7582"/>
    <w:rsid w:val="00F07749"/>
    <w:rsid w:val="00F126C3"/>
    <w:rsid w:val="00F12EE8"/>
    <w:rsid w:val="00F4427A"/>
    <w:rsid w:val="00F61593"/>
    <w:rsid w:val="00F63DD9"/>
    <w:rsid w:val="00F903FA"/>
    <w:rsid w:val="00FA1571"/>
    <w:rsid w:val="00FA5BE9"/>
    <w:rsid w:val="00FA69AE"/>
    <w:rsid w:val="00FA7620"/>
    <w:rsid w:val="00FC1FA7"/>
    <w:rsid w:val="00FE013C"/>
    <w:rsid w:val="00FE2456"/>
    <w:rsid w:val="00FE63AE"/>
    <w:rsid w:val="00FF55D1"/>
    <w:rsid w:val="01C4484D"/>
    <w:rsid w:val="03D3BE9D"/>
    <w:rsid w:val="09F6403C"/>
    <w:rsid w:val="0C2A6781"/>
    <w:rsid w:val="0C73439A"/>
    <w:rsid w:val="127ED417"/>
    <w:rsid w:val="17003FAE"/>
    <w:rsid w:val="26127E42"/>
    <w:rsid w:val="2BD3B35F"/>
    <w:rsid w:val="30175150"/>
    <w:rsid w:val="35D2FA9D"/>
    <w:rsid w:val="35F87FDF"/>
    <w:rsid w:val="38C77650"/>
    <w:rsid w:val="39275747"/>
    <w:rsid w:val="39509CD7"/>
    <w:rsid w:val="3BD44CF8"/>
    <w:rsid w:val="3C690C35"/>
    <w:rsid w:val="3D2715D3"/>
    <w:rsid w:val="407EA957"/>
    <w:rsid w:val="44FF8E20"/>
    <w:rsid w:val="4D3471F0"/>
    <w:rsid w:val="4E02C943"/>
    <w:rsid w:val="544004F7"/>
    <w:rsid w:val="549976BC"/>
    <w:rsid w:val="597EBF38"/>
    <w:rsid w:val="5C73ABFE"/>
    <w:rsid w:val="5D45043D"/>
    <w:rsid w:val="5DBED645"/>
    <w:rsid w:val="5E9CBE28"/>
    <w:rsid w:val="64836746"/>
    <w:rsid w:val="6A64931F"/>
    <w:rsid w:val="6F75AC90"/>
    <w:rsid w:val="72359E2C"/>
    <w:rsid w:val="7318EC3A"/>
    <w:rsid w:val="7F6749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D93D"/>
  <w15:chartTrackingRefBased/>
  <w15:docId w15:val="{DB04D162-8909-416E-8FEB-6EC5C704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02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2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2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2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2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28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02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02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02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02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02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02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02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02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028E"/>
    <w:rPr>
      <w:rFonts w:eastAsiaTheme="majorEastAsia" w:cstheme="majorBidi"/>
      <w:color w:val="272727" w:themeColor="text1" w:themeTint="D8"/>
    </w:rPr>
  </w:style>
  <w:style w:type="paragraph" w:styleId="Title">
    <w:name w:val="Title"/>
    <w:basedOn w:val="Normal"/>
    <w:next w:val="Normal"/>
    <w:link w:val="TitleChar"/>
    <w:uiPriority w:val="10"/>
    <w:qFormat/>
    <w:rsid w:val="00E0028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02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028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0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28E"/>
    <w:pPr>
      <w:spacing w:before="160" w:after="160"/>
    </w:pPr>
    <w:rPr>
      <w:i/>
      <w:iCs/>
      <w:color w:val="404040" w:themeColor="text1" w:themeTint="BF"/>
    </w:rPr>
  </w:style>
  <w:style w:type="character" w:styleId="QuoteChar" w:customStyle="1">
    <w:name w:val="Quote Char"/>
    <w:basedOn w:val="DefaultParagraphFont"/>
    <w:link w:val="Quote"/>
    <w:uiPriority w:val="29"/>
    <w:rsid w:val="00E0028E"/>
    <w:rPr>
      <w:i/>
      <w:iCs/>
      <w:color w:val="404040" w:themeColor="text1" w:themeTint="BF"/>
    </w:rPr>
  </w:style>
  <w:style w:type="paragraph" w:styleId="ListParagraph">
    <w:name w:val="List Paragraph"/>
    <w:basedOn w:val="Normal"/>
    <w:uiPriority w:val="34"/>
    <w:qFormat/>
    <w:rsid w:val="00E0028E"/>
    <w:pPr>
      <w:ind w:left="720"/>
      <w:contextualSpacing/>
    </w:pPr>
  </w:style>
  <w:style w:type="character" w:styleId="IntenseEmphasis">
    <w:name w:val="Intense Emphasis"/>
    <w:basedOn w:val="DefaultParagraphFont"/>
    <w:uiPriority w:val="21"/>
    <w:qFormat/>
    <w:rsid w:val="00E0028E"/>
    <w:rPr>
      <w:i/>
      <w:iCs/>
      <w:color w:val="0F4761" w:themeColor="accent1" w:themeShade="BF"/>
    </w:rPr>
  </w:style>
  <w:style w:type="paragraph" w:styleId="IntenseQuote">
    <w:name w:val="Intense Quote"/>
    <w:basedOn w:val="Normal"/>
    <w:next w:val="Normal"/>
    <w:link w:val="IntenseQuoteChar"/>
    <w:uiPriority w:val="30"/>
    <w:qFormat/>
    <w:rsid w:val="00E0028E"/>
    <w:pPr>
      <w:pBdr>
        <w:top w:val="single" w:color="0F4761" w:themeColor="accent1" w:themeShade="BF" w:sz="4" w:space="10"/>
        <w:bottom w:val="single" w:color="0F4761" w:themeColor="accent1" w:themeShade="BF" w:sz="4" w:space="10"/>
      </w:pBdr>
      <w:spacing w:before="360" w:after="360"/>
      <w:ind w:left="864" w:right="864"/>
    </w:pPr>
    <w:rPr>
      <w:i/>
      <w:iCs/>
      <w:color w:val="0F4761" w:themeColor="accent1" w:themeShade="BF"/>
    </w:rPr>
  </w:style>
  <w:style w:type="character" w:styleId="IntenseQuoteChar" w:customStyle="1">
    <w:name w:val="Intense Quote Char"/>
    <w:basedOn w:val="DefaultParagraphFont"/>
    <w:link w:val="IntenseQuote"/>
    <w:uiPriority w:val="30"/>
    <w:rsid w:val="00E0028E"/>
    <w:rPr>
      <w:i/>
      <w:iCs/>
      <w:color w:val="0F4761" w:themeColor="accent1" w:themeShade="BF"/>
    </w:rPr>
  </w:style>
  <w:style w:type="character" w:styleId="IntenseReference">
    <w:name w:val="Intense Reference"/>
    <w:basedOn w:val="DefaultParagraphFont"/>
    <w:uiPriority w:val="32"/>
    <w:qFormat/>
    <w:rsid w:val="00E0028E"/>
    <w:rPr>
      <w:b/>
      <w:bCs/>
      <w:smallCaps/>
      <w:color w:val="0F4761" w:themeColor="accent1" w:themeShade="BF"/>
      <w:spacing w:val="5"/>
    </w:rPr>
  </w:style>
  <w:style w:type="table" w:styleId="TableGrid">
    <w:name w:val="Table Grid"/>
    <w:basedOn w:val="TableNormal"/>
    <w:uiPriority w:val="39"/>
    <w:rsid w:val="00E0028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B23EB"/>
    <w:rPr>
      <w:color w:val="467886" w:themeColor="hyperlink"/>
      <w:u w:val="single"/>
    </w:rPr>
  </w:style>
  <w:style w:type="character" w:styleId="UnresolvedMention">
    <w:name w:val="Unresolved Mention"/>
    <w:basedOn w:val="DefaultParagraphFont"/>
    <w:uiPriority w:val="99"/>
    <w:semiHidden/>
    <w:unhideWhenUsed/>
    <w:rsid w:val="00AB23E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8" /><Relationship Type="http://schemas.openxmlformats.org/officeDocument/2006/relationships/webSettings" Target="webSettings.xml" Id="rId3" /><Relationship Type="http://schemas.microsoft.com/office/2016/09/relationships/commentsIds" Target="commentsIds.xml" Id="rId7" /><Relationship Type="http://schemas.microsoft.com/office/2020/10/relationships/intelligence" Target="intelligence2.xml" Id="rId12" /><Relationship Type="http://schemas.openxmlformats.org/officeDocument/2006/relationships/settings" Target="settings.xml" Id="rId2" /><Relationship Type="http://schemas.openxmlformats.org/officeDocument/2006/relationships/styles" Target="styles.xml" Id="rId1" /><Relationship Type="http://schemas.microsoft.com/office/2011/relationships/commentsExtended" Target="commentsExtended.xml" Id="rId6" /><Relationship Type="http://schemas.openxmlformats.org/officeDocument/2006/relationships/theme" Target="theme/theme1.xml" Id="rId11" /><Relationship Type="http://schemas.openxmlformats.org/officeDocument/2006/relationships/comments" Target="comments.xml" Id="rId5" /><Relationship Type="http://schemas.microsoft.com/office/2011/relationships/people" Target="people.xml" Id="rId10" /><Relationship Type="http://schemas.openxmlformats.org/officeDocument/2006/relationships/hyperlink" Target="mailto:BOARDOFDIRECTORS@SBVCOA.COM" TargetMode="External" Id="rId4" /><Relationship Type="http://schemas.openxmlformats.org/officeDocument/2006/relationships/fontTable" Target="fontTable.xml" Id="rId9" /><Relationship Type="http://schemas.openxmlformats.org/officeDocument/2006/relationships/numbering" Target="numbering.xml" Id="R2df4d5a9ef0247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T. Finley, PhD</dc:creator>
  <keywords/>
  <dc:description/>
  <lastModifiedBy>Board Directors</lastModifiedBy>
  <revision>4</revision>
  <dcterms:created xsi:type="dcterms:W3CDTF">2025-03-09T18:28:00.0000000Z</dcterms:created>
  <dcterms:modified xsi:type="dcterms:W3CDTF">2025-08-22T15:47:33.1701828Z</dcterms:modified>
</coreProperties>
</file>